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B6606" w14:textId="77777777" w:rsidR="00303F59" w:rsidRDefault="00DE37F8" w:rsidP="006A7939">
      <w:pPr>
        <w:jc w:val="center"/>
        <w:rPr>
          <w:rStyle w:val="fontstyle01"/>
          <w:b/>
          <w:bCs/>
          <w:sz w:val="28"/>
          <w:szCs w:val="28"/>
        </w:rPr>
      </w:pPr>
      <w:r w:rsidRPr="00DE37F8">
        <w:rPr>
          <w:rStyle w:val="fontstyle01"/>
          <w:b/>
          <w:bCs/>
          <w:sz w:val="28"/>
          <w:szCs w:val="28"/>
        </w:rPr>
        <w:t>Prognostic value of NLR in adult patients with hydrocephalus treated</w:t>
      </w:r>
      <w:r w:rsidRPr="00DE37F8">
        <w:rPr>
          <w:rFonts w:ascii="AdvPSA35D" w:hAnsi="AdvPSA35D"/>
          <w:b/>
          <w:bCs/>
          <w:color w:val="5190CC"/>
          <w:sz w:val="24"/>
          <w:szCs w:val="24"/>
        </w:rPr>
        <w:br/>
      </w:r>
      <w:r w:rsidRPr="00DE37F8">
        <w:rPr>
          <w:rStyle w:val="fontstyle01"/>
          <w:b/>
          <w:bCs/>
          <w:sz w:val="28"/>
          <w:szCs w:val="28"/>
        </w:rPr>
        <w:t xml:space="preserve">with an </w:t>
      </w:r>
      <w:r>
        <w:rPr>
          <w:rStyle w:val="fontstyle01"/>
          <w:b/>
          <w:bCs/>
          <w:sz w:val="28"/>
          <w:szCs w:val="28"/>
        </w:rPr>
        <w:t>e</w:t>
      </w:r>
      <w:r w:rsidRPr="00DE37F8">
        <w:rPr>
          <w:rStyle w:val="fontstyle01"/>
          <w:b/>
          <w:bCs/>
          <w:sz w:val="28"/>
          <w:szCs w:val="28"/>
        </w:rPr>
        <w:t xml:space="preserve">xternal </w:t>
      </w:r>
      <w:r>
        <w:rPr>
          <w:rStyle w:val="fontstyle01"/>
          <w:b/>
          <w:bCs/>
          <w:sz w:val="28"/>
          <w:szCs w:val="28"/>
        </w:rPr>
        <w:t>v</w:t>
      </w:r>
      <w:r w:rsidRPr="00DE37F8">
        <w:rPr>
          <w:rStyle w:val="fontstyle01"/>
          <w:b/>
          <w:bCs/>
          <w:sz w:val="28"/>
          <w:szCs w:val="28"/>
        </w:rPr>
        <w:t xml:space="preserve">entricular </w:t>
      </w:r>
      <w:r>
        <w:rPr>
          <w:rStyle w:val="fontstyle01"/>
          <w:b/>
          <w:bCs/>
          <w:sz w:val="28"/>
          <w:szCs w:val="28"/>
        </w:rPr>
        <w:t>d</w:t>
      </w:r>
      <w:r w:rsidRPr="00DE37F8">
        <w:rPr>
          <w:rStyle w:val="fontstyle01"/>
          <w:b/>
          <w:bCs/>
          <w:sz w:val="28"/>
          <w:szCs w:val="28"/>
        </w:rPr>
        <w:t>rain: a retrospective study</w:t>
      </w:r>
    </w:p>
    <w:p w14:paraId="2D45C76D" w14:textId="77777777" w:rsidR="009C0CB3" w:rsidRPr="006A7939" w:rsidRDefault="009C0CB3" w:rsidP="006A7939">
      <w:pPr>
        <w:jc w:val="center"/>
        <w:rPr>
          <w:rFonts w:ascii="Times New Roman" w:hAnsi="Times New Roman" w:cs="Times New Roman"/>
          <w:b/>
          <w:bCs/>
          <w:color w:val="000000"/>
          <w:sz w:val="28"/>
          <w:szCs w:val="28"/>
        </w:rPr>
      </w:pPr>
    </w:p>
    <w:p w14:paraId="5143996C" w14:textId="17B9CE86" w:rsidR="009C0CB3" w:rsidRDefault="009C0CB3" w:rsidP="00C61FC3">
      <w:pPr>
        <w:jc w:val="center"/>
        <w:rPr>
          <w:rFonts w:asciiTheme="majorBidi" w:hAnsiTheme="majorBidi" w:cstheme="majorBidi"/>
        </w:rPr>
      </w:pPr>
      <w:r w:rsidRPr="002F4E1B">
        <w:rPr>
          <w:rFonts w:asciiTheme="majorBidi" w:hAnsiTheme="majorBidi" w:cstheme="majorBidi"/>
        </w:rPr>
        <w:t>Morteza Modaenama</w:t>
      </w:r>
      <w:r w:rsidRPr="002F4E1B">
        <w:rPr>
          <w:rFonts w:asciiTheme="majorBidi" w:hAnsiTheme="majorBidi" w:cstheme="majorBidi"/>
          <w:vertAlign w:val="superscript"/>
        </w:rPr>
        <w:t>1</w:t>
      </w:r>
      <w:r w:rsidRPr="002F4E1B">
        <w:rPr>
          <w:rFonts w:asciiTheme="majorBidi" w:hAnsiTheme="majorBidi" w:cstheme="majorBidi"/>
        </w:rPr>
        <w:t xml:space="preserve">, </w:t>
      </w:r>
      <w:r>
        <w:rPr>
          <w:rFonts w:asciiTheme="majorBidi" w:hAnsiTheme="majorBidi" w:cstheme="majorBidi"/>
        </w:rPr>
        <w:t xml:space="preserve">Babak </w:t>
      </w:r>
      <w:proofErr w:type="spellStart"/>
      <w:r>
        <w:rPr>
          <w:rFonts w:asciiTheme="majorBidi" w:hAnsiTheme="majorBidi" w:cstheme="majorBidi"/>
        </w:rPr>
        <w:t>alijani</w:t>
      </w:r>
      <w:proofErr w:type="spellEnd"/>
      <w:r>
        <w:rPr>
          <w:rFonts w:asciiTheme="majorBidi" w:hAnsiTheme="majorBidi" w:cstheme="majorBidi"/>
        </w:rPr>
        <w:t>*</w:t>
      </w:r>
      <w:r w:rsidRPr="00D67551">
        <w:rPr>
          <w:rFonts w:asciiTheme="majorBidi" w:hAnsiTheme="majorBidi" w:cstheme="majorBidi"/>
          <w:vertAlign w:val="superscript"/>
        </w:rPr>
        <w:t>2,3</w:t>
      </w:r>
      <w:r>
        <w:rPr>
          <w:rFonts w:asciiTheme="majorBidi" w:hAnsiTheme="majorBidi" w:cstheme="majorBidi"/>
        </w:rPr>
        <w:t xml:space="preserve">, </w:t>
      </w:r>
      <w:r w:rsidRPr="002F4E1B">
        <w:rPr>
          <w:rFonts w:asciiTheme="majorBidi" w:hAnsiTheme="majorBidi" w:cstheme="majorBidi"/>
        </w:rPr>
        <w:t>Zoheir Reihanian</w:t>
      </w:r>
      <w:r w:rsidRPr="00D67551">
        <w:rPr>
          <w:rFonts w:asciiTheme="majorBidi" w:hAnsiTheme="majorBidi" w:cstheme="majorBidi"/>
          <w:vertAlign w:val="superscript"/>
        </w:rPr>
        <w:t>1,2</w:t>
      </w:r>
      <w:r>
        <w:rPr>
          <w:rFonts w:asciiTheme="majorBidi" w:hAnsiTheme="majorBidi" w:cstheme="majorBidi"/>
        </w:rPr>
        <w:t xml:space="preserve">, </w:t>
      </w:r>
      <w:proofErr w:type="spellStart"/>
      <w:r w:rsidRPr="002F4E1B">
        <w:rPr>
          <w:rFonts w:asciiTheme="majorBidi" w:hAnsiTheme="majorBidi" w:cstheme="majorBidi"/>
        </w:rPr>
        <w:t>Seifolla</w:t>
      </w:r>
      <w:proofErr w:type="spellEnd"/>
      <w:r w:rsidRPr="002F4E1B">
        <w:rPr>
          <w:rFonts w:asciiTheme="majorBidi" w:hAnsiTheme="majorBidi" w:cstheme="majorBidi"/>
        </w:rPr>
        <w:t xml:space="preserve"> Jafari</w:t>
      </w:r>
      <w:r w:rsidRPr="00D67551">
        <w:rPr>
          <w:rFonts w:asciiTheme="majorBidi" w:hAnsiTheme="majorBidi" w:cstheme="majorBidi"/>
          <w:vertAlign w:val="superscript"/>
        </w:rPr>
        <w:t>3</w:t>
      </w:r>
    </w:p>
    <w:p w14:paraId="296197DB" w14:textId="77777777" w:rsidR="009C0CB3" w:rsidRDefault="009C0CB3" w:rsidP="009C0CB3">
      <w:pPr>
        <w:spacing w:line="240" w:lineRule="auto"/>
        <w:rPr>
          <w:rFonts w:asciiTheme="majorBidi" w:hAnsiTheme="majorBidi" w:cstheme="majorBidi"/>
          <w:sz w:val="20"/>
          <w:szCs w:val="20"/>
        </w:rPr>
      </w:pPr>
      <w:r>
        <w:rPr>
          <w:rFonts w:asciiTheme="majorBidi" w:hAnsiTheme="majorBidi" w:cstheme="majorBidi"/>
          <w:sz w:val="20"/>
          <w:szCs w:val="20"/>
          <w:vertAlign w:val="superscript"/>
        </w:rPr>
        <w:t>1</w:t>
      </w:r>
      <w:r w:rsidRPr="002F4E1B">
        <w:rPr>
          <w:rFonts w:asciiTheme="majorBidi" w:hAnsiTheme="majorBidi" w:cstheme="majorBidi"/>
          <w:sz w:val="20"/>
          <w:szCs w:val="20"/>
        </w:rPr>
        <w:t xml:space="preserve">Neuroscience Research Center, School of Medicine, </w:t>
      </w:r>
      <w:proofErr w:type="spellStart"/>
      <w:r w:rsidRPr="002F4E1B">
        <w:rPr>
          <w:rFonts w:asciiTheme="majorBidi" w:hAnsiTheme="majorBidi" w:cstheme="majorBidi"/>
          <w:sz w:val="20"/>
          <w:szCs w:val="20"/>
        </w:rPr>
        <w:t>Guilan</w:t>
      </w:r>
      <w:proofErr w:type="spellEnd"/>
      <w:r w:rsidRPr="002F4E1B">
        <w:rPr>
          <w:rFonts w:asciiTheme="majorBidi" w:hAnsiTheme="majorBidi" w:cstheme="majorBidi"/>
          <w:sz w:val="20"/>
          <w:szCs w:val="20"/>
        </w:rPr>
        <w:t xml:space="preserve"> University of Medical Sciences, Rasht, Iran</w:t>
      </w:r>
    </w:p>
    <w:p w14:paraId="200B7B4F" w14:textId="77777777" w:rsidR="009C0CB3" w:rsidRPr="002F4E1B" w:rsidRDefault="009C0CB3" w:rsidP="009C0CB3">
      <w:pPr>
        <w:spacing w:line="240" w:lineRule="auto"/>
        <w:rPr>
          <w:rFonts w:asciiTheme="majorBidi" w:hAnsiTheme="majorBidi" w:cstheme="majorBidi"/>
          <w:sz w:val="20"/>
          <w:szCs w:val="20"/>
        </w:rPr>
      </w:pPr>
      <w:r>
        <w:rPr>
          <w:rFonts w:asciiTheme="majorBidi" w:hAnsiTheme="majorBidi" w:cstheme="majorBidi"/>
          <w:sz w:val="20"/>
          <w:szCs w:val="20"/>
          <w:vertAlign w:val="superscript"/>
        </w:rPr>
        <w:t>2</w:t>
      </w:r>
      <w:r w:rsidRPr="002F4E1B">
        <w:rPr>
          <w:rFonts w:asciiTheme="majorBidi" w:hAnsiTheme="majorBidi" w:cstheme="majorBidi"/>
          <w:sz w:val="20"/>
          <w:szCs w:val="20"/>
        </w:rPr>
        <w:t xml:space="preserve">Guilan Road Trauma Research Center, </w:t>
      </w:r>
      <w:proofErr w:type="spellStart"/>
      <w:r w:rsidRPr="002F4E1B">
        <w:rPr>
          <w:rFonts w:asciiTheme="majorBidi" w:hAnsiTheme="majorBidi" w:cstheme="majorBidi"/>
          <w:sz w:val="20"/>
          <w:szCs w:val="20"/>
        </w:rPr>
        <w:t>Guilan</w:t>
      </w:r>
      <w:proofErr w:type="spellEnd"/>
      <w:r w:rsidRPr="002F4E1B">
        <w:rPr>
          <w:rFonts w:asciiTheme="majorBidi" w:hAnsiTheme="majorBidi" w:cstheme="majorBidi"/>
          <w:sz w:val="20"/>
          <w:szCs w:val="20"/>
        </w:rPr>
        <w:t xml:space="preserve"> University of Medical Sciences, Rasht, Iran </w:t>
      </w:r>
    </w:p>
    <w:p w14:paraId="73865BDD" w14:textId="77777777" w:rsidR="009C0CB3" w:rsidRDefault="009C0CB3" w:rsidP="009C0CB3">
      <w:pPr>
        <w:spacing w:line="240" w:lineRule="auto"/>
        <w:rPr>
          <w:rFonts w:asciiTheme="majorBidi" w:hAnsiTheme="majorBidi" w:cstheme="majorBidi"/>
          <w:sz w:val="20"/>
          <w:szCs w:val="20"/>
        </w:rPr>
      </w:pPr>
      <w:r w:rsidRPr="002F4E1B">
        <w:rPr>
          <w:rFonts w:asciiTheme="majorBidi" w:hAnsiTheme="majorBidi" w:cstheme="majorBidi"/>
          <w:sz w:val="20"/>
          <w:szCs w:val="20"/>
          <w:vertAlign w:val="superscript"/>
        </w:rPr>
        <w:t>3</w:t>
      </w:r>
      <w:r w:rsidRPr="002F4E1B">
        <w:rPr>
          <w:rFonts w:asciiTheme="majorBidi" w:hAnsiTheme="majorBidi" w:cstheme="majorBidi"/>
          <w:sz w:val="20"/>
          <w:szCs w:val="20"/>
        </w:rPr>
        <w:t xml:space="preserve">Department of Neurosurgery, School of Medicine, </w:t>
      </w:r>
      <w:proofErr w:type="spellStart"/>
      <w:r w:rsidRPr="002F4E1B">
        <w:rPr>
          <w:rFonts w:asciiTheme="majorBidi" w:hAnsiTheme="majorBidi" w:cstheme="majorBidi"/>
          <w:sz w:val="20"/>
          <w:szCs w:val="20"/>
        </w:rPr>
        <w:t>Poursina</w:t>
      </w:r>
      <w:proofErr w:type="spellEnd"/>
      <w:r w:rsidRPr="002F4E1B">
        <w:rPr>
          <w:rFonts w:asciiTheme="majorBidi" w:hAnsiTheme="majorBidi" w:cstheme="majorBidi"/>
          <w:sz w:val="20"/>
          <w:szCs w:val="20"/>
        </w:rPr>
        <w:t xml:space="preserve"> Hospital, </w:t>
      </w:r>
      <w:proofErr w:type="spellStart"/>
      <w:r w:rsidRPr="002F4E1B">
        <w:rPr>
          <w:rFonts w:asciiTheme="majorBidi" w:hAnsiTheme="majorBidi" w:cstheme="majorBidi"/>
          <w:sz w:val="20"/>
          <w:szCs w:val="20"/>
        </w:rPr>
        <w:t>Guilan</w:t>
      </w:r>
      <w:proofErr w:type="spellEnd"/>
      <w:r w:rsidRPr="002F4E1B">
        <w:rPr>
          <w:rFonts w:asciiTheme="majorBidi" w:hAnsiTheme="majorBidi" w:cstheme="majorBidi"/>
          <w:sz w:val="20"/>
          <w:szCs w:val="20"/>
        </w:rPr>
        <w:t xml:space="preserve"> University of Medical Sciences, Rasht, Iran</w:t>
      </w:r>
    </w:p>
    <w:p w14:paraId="1D5A2DA9" w14:textId="77777777" w:rsidR="009C0CB3" w:rsidRDefault="009C0CB3" w:rsidP="009C0CB3">
      <w:pPr>
        <w:spacing w:line="240" w:lineRule="auto"/>
        <w:rPr>
          <w:rFonts w:asciiTheme="majorBidi" w:hAnsiTheme="majorBidi" w:cstheme="majorBidi"/>
          <w:sz w:val="20"/>
          <w:szCs w:val="20"/>
        </w:rPr>
      </w:pPr>
    </w:p>
    <w:p w14:paraId="27966F3B" w14:textId="77777777" w:rsidR="009C0CB3" w:rsidRDefault="009C0CB3" w:rsidP="009C0CB3">
      <w:pPr>
        <w:spacing w:line="240" w:lineRule="auto"/>
        <w:rPr>
          <w:rFonts w:asciiTheme="majorBidi" w:hAnsiTheme="majorBidi" w:cstheme="majorBidi"/>
          <w:sz w:val="20"/>
          <w:szCs w:val="20"/>
        </w:rPr>
      </w:pPr>
      <w:r w:rsidRPr="00073870">
        <w:rPr>
          <w:rFonts w:asciiTheme="majorBidi" w:hAnsiTheme="majorBidi" w:cstheme="majorBidi"/>
          <w:sz w:val="20"/>
          <w:szCs w:val="20"/>
        </w:rPr>
        <w:t>*Author</w:t>
      </w:r>
      <w:r>
        <w:rPr>
          <w:rFonts w:asciiTheme="majorBidi" w:hAnsiTheme="majorBidi" w:cstheme="majorBidi"/>
          <w:sz w:val="20"/>
          <w:szCs w:val="20"/>
        </w:rPr>
        <w:t>s</w:t>
      </w:r>
      <w:r w:rsidRPr="00073870">
        <w:rPr>
          <w:rFonts w:asciiTheme="majorBidi" w:hAnsiTheme="majorBidi" w:cstheme="majorBidi"/>
          <w:sz w:val="20"/>
          <w:szCs w:val="20"/>
        </w:rPr>
        <w:t xml:space="preserve"> for correspondence</w:t>
      </w:r>
      <w:r>
        <w:rPr>
          <w:rFonts w:asciiTheme="majorBidi" w:hAnsiTheme="majorBidi" w:cstheme="majorBidi"/>
          <w:sz w:val="20"/>
          <w:szCs w:val="20"/>
        </w:rPr>
        <w:t>:</w:t>
      </w:r>
    </w:p>
    <w:p w14:paraId="5136052C" w14:textId="77777777" w:rsidR="009C0CB3" w:rsidRDefault="009C0CB3" w:rsidP="009C0CB3">
      <w:pPr>
        <w:spacing w:line="240" w:lineRule="auto"/>
        <w:rPr>
          <w:rFonts w:asciiTheme="majorBidi" w:hAnsiTheme="majorBidi" w:cstheme="majorBidi"/>
          <w:sz w:val="20"/>
          <w:szCs w:val="20"/>
        </w:rPr>
      </w:pPr>
      <w:r>
        <w:rPr>
          <w:rFonts w:asciiTheme="majorBidi" w:hAnsiTheme="majorBidi" w:cstheme="majorBidi"/>
          <w:sz w:val="20"/>
          <w:szCs w:val="20"/>
        </w:rPr>
        <w:t xml:space="preserve">Dr. </w:t>
      </w:r>
      <w:r w:rsidRPr="00073870">
        <w:rPr>
          <w:rFonts w:asciiTheme="majorBidi" w:hAnsiTheme="majorBidi" w:cstheme="majorBidi"/>
          <w:sz w:val="20"/>
          <w:szCs w:val="20"/>
        </w:rPr>
        <w:t xml:space="preserve">Babak </w:t>
      </w:r>
      <w:proofErr w:type="spellStart"/>
      <w:r w:rsidRPr="00073870">
        <w:rPr>
          <w:rFonts w:asciiTheme="majorBidi" w:hAnsiTheme="majorBidi" w:cstheme="majorBidi"/>
          <w:sz w:val="20"/>
          <w:szCs w:val="20"/>
        </w:rPr>
        <w:t>alijani</w:t>
      </w:r>
      <w:proofErr w:type="spellEnd"/>
      <w:r>
        <w:rPr>
          <w:rFonts w:asciiTheme="majorBidi" w:hAnsiTheme="majorBidi" w:cstheme="majorBidi"/>
          <w:sz w:val="20"/>
          <w:szCs w:val="20"/>
        </w:rPr>
        <w:t xml:space="preserve">, </w:t>
      </w:r>
      <w:hyperlink r:id="rId4" w:history="1">
        <w:r w:rsidRPr="001C0792">
          <w:rPr>
            <w:rStyle w:val="Hyperlink"/>
            <w:rFonts w:asciiTheme="majorBidi" w:hAnsiTheme="majorBidi" w:cstheme="majorBidi"/>
            <w:sz w:val="20"/>
            <w:szCs w:val="20"/>
          </w:rPr>
          <w:t>babak.alijani1394@gmail.com</w:t>
        </w:r>
      </w:hyperlink>
    </w:p>
    <w:p w14:paraId="33EC8C86" w14:textId="77777777" w:rsidR="009C0CB3" w:rsidRDefault="009C0CB3" w:rsidP="009C0CB3"/>
    <w:p w14:paraId="14D7C367" w14:textId="77777777" w:rsidR="00303F59" w:rsidRPr="00073870" w:rsidRDefault="00303F59" w:rsidP="00073870">
      <w:pPr>
        <w:spacing w:line="240" w:lineRule="auto"/>
        <w:rPr>
          <w:rFonts w:asciiTheme="majorBidi" w:hAnsiTheme="majorBidi" w:cstheme="majorBidi"/>
          <w:sz w:val="20"/>
          <w:szCs w:val="20"/>
        </w:rPr>
      </w:pPr>
    </w:p>
    <w:p w14:paraId="34700E46" w14:textId="77777777" w:rsidR="008E33BC" w:rsidRPr="00BD40C9" w:rsidRDefault="008E33BC" w:rsidP="004E5E63">
      <w:pPr>
        <w:rPr>
          <w:rFonts w:asciiTheme="majorBidi" w:hAnsiTheme="majorBidi" w:cstheme="majorBidi"/>
          <w:b/>
          <w:bCs/>
          <w:sz w:val="24"/>
          <w:szCs w:val="24"/>
        </w:rPr>
      </w:pPr>
      <w:r w:rsidRPr="00BD40C9">
        <w:rPr>
          <w:rFonts w:asciiTheme="majorBidi" w:hAnsiTheme="majorBidi" w:cstheme="majorBidi"/>
          <w:b/>
          <w:bCs/>
          <w:sz w:val="24"/>
          <w:szCs w:val="24"/>
        </w:rPr>
        <w:t>Abstract</w:t>
      </w:r>
    </w:p>
    <w:p w14:paraId="49E074B0" w14:textId="77777777" w:rsidR="006D666B" w:rsidRPr="00BD40C9" w:rsidRDefault="008F785F" w:rsidP="00BD64DF">
      <w:pPr>
        <w:spacing w:line="360" w:lineRule="auto"/>
        <w:jc w:val="both"/>
        <w:rPr>
          <w:rFonts w:asciiTheme="majorBidi" w:hAnsiTheme="majorBidi" w:cstheme="majorBidi"/>
          <w:sz w:val="24"/>
          <w:szCs w:val="24"/>
        </w:rPr>
      </w:pPr>
      <w:r w:rsidRPr="00BD40C9">
        <w:rPr>
          <w:rFonts w:asciiTheme="majorBidi" w:hAnsiTheme="majorBidi" w:cstheme="majorBidi"/>
          <w:b/>
          <w:bCs/>
          <w:sz w:val="24"/>
          <w:szCs w:val="24"/>
        </w:rPr>
        <w:t>Objectives:</w:t>
      </w:r>
      <w:r w:rsidRPr="00BD40C9">
        <w:rPr>
          <w:rFonts w:asciiTheme="majorBidi" w:hAnsiTheme="majorBidi" w:cstheme="majorBidi"/>
          <w:sz w:val="24"/>
          <w:szCs w:val="24"/>
        </w:rPr>
        <w:t xml:space="preserve"> </w:t>
      </w:r>
      <w:r w:rsidR="006D666B" w:rsidRPr="00BD40C9">
        <w:rPr>
          <w:rFonts w:asciiTheme="majorBidi" w:hAnsiTheme="majorBidi" w:cstheme="majorBidi"/>
          <w:sz w:val="24"/>
          <w:szCs w:val="24"/>
        </w:rPr>
        <w:t xml:space="preserve">The neutrophil-to-lymphocyte ratio (NLR) in whole blood is an indicator of prognosis in several disorders, however its predictive value </w:t>
      </w:r>
      <w:r w:rsidR="000106A9">
        <w:rPr>
          <w:rFonts w:asciiTheme="majorBidi" w:hAnsiTheme="majorBidi" w:cstheme="majorBidi"/>
          <w:sz w:val="24"/>
          <w:szCs w:val="24"/>
        </w:rPr>
        <w:t xml:space="preserve">in </w:t>
      </w:r>
      <w:r w:rsidR="00BD64DF">
        <w:rPr>
          <w:rFonts w:asciiTheme="majorBidi" w:hAnsiTheme="majorBidi" w:cstheme="majorBidi"/>
          <w:sz w:val="24"/>
          <w:szCs w:val="24"/>
        </w:rPr>
        <w:t xml:space="preserve">the </w:t>
      </w:r>
      <w:r w:rsidR="000106A9">
        <w:rPr>
          <w:rFonts w:asciiTheme="majorBidi" w:hAnsiTheme="majorBidi" w:cstheme="majorBidi"/>
          <w:sz w:val="24"/>
          <w:szCs w:val="24"/>
        </w:rPr>
        <w:t xml:space="preserve">CSF </w:t>
      </w:r>
      <w:r w:rsidR="00BD64DF">
        <w:rPr>
          <w:rFonts w:asciiTheme="majorBidi" w:hAnsiTheme="majorBidi" w:cstheme="majorBidi"/>
          <w:sz w:val="24"/>
          <w:szCs w:val="24"/>
        </w:rPr>
        <w:t>of</w:t>
      </w:r>
      <w:r w:rsidR="006D666B" w:rsidRPr="00BD40C9">
        <w:rPr>
          <w:rFonts w:asciiTheme="majorBidi" w:hAnsiTheme="majorBidi" w:cstheme="majorBidi"/>
          <w:sz w:val="24"/>
          <w:szCs w:val="24"/>
        </w:rPr>
        <w:t xml:space="preserve"> hydrocephalus patients has not been studied. </w:t>
      </w:r>
      <w:r w:rsidR="009A7662" w:rsidRPr="009A7662">
        <w:rPr>
          <w:rFonts w:asciiTheme="majorBidi" w:hAnsiTheme="majorBidi" w:cstheme="majorBidi"/>
          <w:sz w:val="24"/>
          <w:szCs w:val="24"/>
        </w:rPr>
        <w:t xml:space="preserve">This study aimed to </w:t>
      </w:r>
      <w:r w:rsidR="006D666B" w:rsidRPr="00BD40C9">
        <w:rPr>
          <w:rFonts w:asciiTheme="majorBidi" w:hAnsiTheme="majorBidi" w:cstheme="majorBidi"/>
          <w:sz w:val="24"/>
          <w:szCs w:val="24"/>
        </w:rPr>
        <w:t>determine the prognostic relevance of NLR at admission and its</w:t>
      </w:r>
      <w:r w:rsidR="009A7662" w:rsidRPr="009A7662">
        <w:rPr>
          <w:rFonts w:asciiTheme="majorBidi" w:hAnsiTheme="majorBidi" w:cstheme="majorBidi"/>
          <w:sz w:val="24"/>
          <w:szCs w:val="24"/>
        </w:rPr>
        <w:t xml:space="preserve"> implications for clinical outcomes </w:t>
      </w:r>
      <w:r w:rsidR="006D666B" w:rsidRPr="00BD40C9">
        <w:rPr>
          <w:rFonts w:asciiTheme="majorBidi" w:hAnsiTheme="majorBidi" w:cstheme="majorBidi"/>
          <w:sz w:val="24"/>
          <w:szCs w:val="24"/>
        </w:rPr>
        <w:t xml:space="preserve">in patients with hydrocephalus treated with an external ventricular drain (EVD). </w:t>
      </w:r>
    </w:p>
    <w:p w14:paraId="42E954EF" w14:textId="77777777" w:rsidR="008F785F" w:rsidRPr="00BD40C9" w:rsidRDefault="008F785F" w:rsidP="00BD40C9">
      <w:pPr>
        <w:spacing w:line="360" w:lineRule="auto"/>
        <w:jc w:val="both"/>
        <w:rPr>
          <w:rFonts w:asciiTheme="majorBidi" w:hAnsiTheme="majorBidi" w:cstheme="majorBidi"/>
          <w:sz w:val="24"/>
          <w:szCs w:val="24"/>
        </w:rPr>
      </w:pPr>
      <w:r w:rsidRPr="00BD40C9">
        <w:rPr>
          <w:rFonts w:asciiTheme="majorBidi" w:hAnsiTheme="majorBidi" w:cstheme="majorBidi"/>
          <w:b/>
          <w:bCs/>
          <w:sz w:val="24"/>
          <w:szCs w:val="24"/>
        </w:rPr>
        <w:t>Methods:</w:t>
      </w:r>
      <w:r w:rsidRPr="00BD40C9">
        <w:rPr>
          <w:rFonts w:asciiTheme="majorBidi" w:hAnsiTheme="majorBidi" w:cstheme="majorBidi"/>
          <w:sz w:val="24"/>
          <w:szCs w:val="24"/>
        </w:rPr>
        <w:t xml:space="preserve"> </w:t>
      </w:r>
      <w:r w:rsidR="0056673B" w:rsidRPr="00BD40C9">
        <w:rPr>
          <w:rFonts w:asciiTheme="majorBidi" w:hAnsiTheme="majorBidi" w:cstheme="majorBidi"/>
          <w:sz w:val="24"/>
          <w:szCs w:val="24"/>
        </w:rPr>
        <w:t>This retrospective study examined consecutive individuals with hydrocephalus who were admitted to an adult ICU in a single center between 2020 and 2022.  Patient demographics, clinical characteristics, laboratory data, and computed tomography (CT) scans were gathered.  ROC curve analysis was used to identify the optimal NLR and clinical variable cutoff values for mortality. Univariate and multivariate logistic regression analysis was carried out to assess the independent impact of variables on mortality.</w:t>
      </w:r>
    </w:p>
    <w:p w14:paraId="0C6C3C3B" w14:textId="77777777" w:rsidR="002B2A66" w:rsidRPr="00BD40C9" w:rsidRDefault="008F785F" w:rsidP="009F7E06">
      <w:pPr>
        <w:spacing w:line="360" w:lineRule="auto"/>
        <w:jc w:val="both"/>
        <w:rPr>
          <w:rFonts w:asciiTheme="majorBidi" w:hAnsiTheme="majorBidi" w:cstheme="majorBidi"/>
          <w:sz w:val="24"/>
          <w:szCs w:val="24"/>
        </w:rPr>
      </w:pPr>
      <w:r w:rsidRPr="00BD40C9">
        <w:rPr>
          <w:rFonts w:asciiTheme="majorBidi" w:hAnsiTheme="majorBidi" w:cstheme="majorBidi"/>
          <w:b/>
          <w:bCs/>
          <w:sz w:val="24"/>
          <w:szCs w:val="24"/>
        </w:rPr>
        <w:t>Results:</w:t>
      </w:r>
      <w:r w:rsidRPr="00BD40C9">
        <w:rPr>
          <w:rFonts w:asciiTheme="majorBidi" w:hAnsiTheme="majorBidi" w:cstheme="majorBidi"/>
          <w:sz w:val="24"/>
          <w:szCs w:val="24"/>
        </w:rPr>
        <w:t xml:space="preserve"> We </w:t>
      </w:r>
      <w:r w:rsidR="002B13D3" w:rsidRPr="00BD40C9">
        <w:rPr>
          <w:rFonts w:asciiTheme="majorBidi" w:hAnsiTheme="majorBidi" w:cstheme="majorBidi"/>
          <w:sz w:val="24"/>
          <w:szCs w:val="24"/>
        </w:rPr>
        <w:t>included 40</w:t>
      </w:r>
      <w:r w:rsidRPr="00BD40C9">
        <w:rPr>
          <w:rFonts w:asciiTheme="majorBidi" w:hAnsiTheme="majorBidi" w:cstheme="majorBidi"/>
          <w:sz w:val="24"/>
          <w:szCs w:val="24"/>
        </w:rPr>
        <w:t xml:space="preserve"> patients with </w:t>
      </w:r>
      <w:r w:rsidR="002B13D3" w:rsidRPr="00BD40C9">
        <w:rPr>
          <w:rFonts w:asciiTheme="majorBidi" w:hAnsiTheme="majorBidi" w:cstheme="majorBidi"/>
          <w:sz w:val="24"/>
          <w:szCs w:val="24"/>
        </w:rPr>
        <w:t>hydrocephaly</w:t>
      </w:r>
      <w:r w:rsidRPr="00BD40C9">
        <w:rPr>
          <w:rFonts w:asciiTheme="majorBidi" w:hAnsiTheme="majorBidi" w:cstheme="majorBidi"/>
          <w:sz w:val="24"/>
          <w:szCs w:val="24"/>
        </w:rPr>
        <w:t xml:space="preserve"> in the present study. There were </w:t>
      </w:r>
      <w:r w:rsidR="002B13D3" w:rsidRPr="00BD40C9">
        <w:rPr>
          <w:rFonts w:asciiTheme="majorBidi" w:hAnsiTheme="majorBidi" w:cstheme="majorBidi"/>
          <w:sz w:val="24"/>
          <w:szCs w:val="24"/>
        </w:rPr>
        <w:t>24</w:t>
      </w:r>
      <w:r w:rsidRPr="00BD40C9">
        <w:rPr>
          <w:rFonts w:asciiTheme="majorBidi" w:hAnsiTheme="majorBidi" w:cstheme="majorBidi"/>
          <w:sz w:val="24"/>
          <w:szCs w:val="24"/>
        </w:rPr>
        <w:t xml:space="preserve"> </w:t>
      </w:r>
      <w:r w:rsidR="00F93F72">
        <w:rPr>
          <w:rFonts w:asciiTheme="majorBidi" w:hAnsiTheme="majorBidi" w:cstheme="majorBidi"/>
          <w:sz w:val="24"/>
          <w:szCs w:val="24"/>
        </w:rPr>
        <w:t>males</w:t>
      </w:r>
      <w:r w:rsidRPr="00BD40C9">
        <w:rPr>
          <w:rFonts w:asciiTheme="majorBidi" w:hAnsiTheme="majorBidi" w:cstheme="majorBidi"/>
          <w:sz w:val="24"/>
          <w:szCs w:val="24"/>
        </w:rPr>
        <w:t xml:space="preserve"> (</w:t>
      </w:r>
      <w:r w:rsidR="002B13D3" w:rsidRPr="00BD40C9">
        <w:rPr>
          <w:rFonts w:asciiTheme="majorBidi" w:hAnsiTheme="majorBidi" w:cstheme="majorBidi"/>
          <w:sz w:val="24"/>
          <w:szCs w:val="24"/>
        </w:rPr>
        <w:t>60</w:t>
      </w:r>
      <w:r w:rsidRPr="00BD40C9">
        <w:rPr>
          <w:rFonts w:asciiTheme="majorBidi" w:hAnsiTheme="majorBidi" w:cstheme="majorBidi"/>
          <w:sz w:val="24"/>
          <w:szCs w:val="24"/>
        </w:rPr>
        <w:t xml:space="preserve">%) and </w:t>
      </w:r>
      <w:r w:rsidR="002B13D3" w:rsidRPr="00BD40C9">
        <w:rPr>
          <w:rFonts w:asciiTheme="majorBidi" w:hAnsiTheme="majorBidi" w:cstheme="majorBidi"/>
          <w:sz w:val="24"/>
          <w:szCs w:val="24"/>
        </w:rPr>
        <w:t>16</w:t>
      </w:r>
      <w:r w:rsidRPr="00BD40C9">
        <w:rPr>
          <w:rFonts w:asciiTheme="majorBidi" w:hAnsiTheme="majorBidi" w:cstheme="majorBidi"/>
          <w:sz w:val="24"/>
          <w:szCs w:val="24"/>
        </w:rPr>
        <w:t xml:space="preserve"> </w:t>
      </w:r>
      <w:r w:rsidR="00F93F72" w:rsidRPr="00BD40C9">
        <w:rPr>
          <w:rFonts w:asciiTheme="majorBidi" w:hAnsiTheme="majorBidi" w:cstheme="majorBidi"/>
          <w:sz w:val="24"/>
          <w:szCs w:val="24"/>
        </w:rPr>
        <w:t>females</w:t>
      </w:r>
      <w:r w:rsidRPr="00BD40C9">
        <w:rPr>
          <w:rFonts w:asciiTheme="majorBidi" w:hAnsiTheme="majorBidi" w:cstheme="majorBidi"/>
          <w:sz w:val="24"/>
          <w:szCs w:val="24"/>
        </w:rPr>
        <w:t xml:space="preserve"> (40%) patients, with an average age of </w:t>
      </w:r>
      <w:r w:rsidR="002B13D3" w:rsidRPr="00BD40C9">
        <w:rPr>
          <w:rFonts w:asciiTheme="majorBidi" w:hAnsiTheme="majorBidi" w:cstheme="majorBidi"/>
          <w:sz w:val="24"/>
          <w:szCs w:val="24"/>
        </w:rPr>
        <w:t xml:space="preserve">51.68 ± 16.34 </w:t>
      </w:r>
      <w:r w:rsidRPr="00BD40C9">
        <w:rPr>
          <w:rFonts w:asciiTheme="majorBidi" w:hAnsiTheme="majorBidi" w:cstheme="majorBidi"/>
          <w:sz w:val="24"/>
          <w:szCs w:val="24"/>
        </w:rPr>
        <w:t xml:space="preserve">years. </w:t>
      </w:r>
      <w:r w:rsidR="002B2A66" w:rsidRPr="00BD40C9">
        <w:rPr>
          <w:rFonts w:asciiTheme="majorBidi" w:hAnsiTheme="majorBidi" w:cstheme="majorBidi"/>
          <w:sz w:val="24"/>
          <w:szCs w:val="24"/>
        </w:rPr>
        <w:t xml:space="preserve">NLR was </w:t>
      </w:r>
      <w:r w:rsidR="009A7662">
        <w:rPr>
          <w:rFonts w:asciiTheme="majorBidi" w:hAnsiTheme="majorBidi" w:cstheme="majorBidi"/>
          <w:sz w:val="24"/>
          <w:szCs w:val="24"/>
        </w:rPr>
        <w:t>considerably</w:t>
      </w:r>
      <w:r w:rsidR="002B2A66" w:rsidRPr="00BD40C9">
        <w:rPr>
          <w:rFonts w:asciiTheme="majorBidi" w:hAnsiTheme="majorBidi" w:cstheme="majorBidi"/>
          <w:sz w:val="24"/>
          <w:szCs w:val="24"/>
        </w:rPr>
        <w:t xml:space="preserve"> higher in the </w:t>
      </w:r>
      <w:r w:rsidR="002B13D3" w:rsidRPr="00BD40C9">
        <w:rPr>
          <w:rFonts w:asciiTheme="majorBidi" w:hAnsiTheme="majorBidi" w:cstheme="majorBidi"/>
          <w:sz w:val="24"/>
          <w:szCs w:val="24"/>
        </w:rPr>
        <w:t>dead</w:t>
      </w:r>
      <w:r w:rsidR="002B2A66" w:rsidRPr="00BD40C9">
        <w:rPr>
          <w:rFonts w:asciiTheme="majorBidi" w:hAnsiTheme="majorBidi" w:cstheme="majorBidi"/>
          <w:sz w:val="24"/>
          <w:szCs w:val="24"/>
        </w:rPr>
        <w:t xml:space="preserve"> group </w:t>
      </w:r>
      <w:r w:rsidR="009A7662">
        <w:rPr>
          <w:rFonts w:asciiTheme="majorBidi" w:hAnsiTheme="majorBidi" w:cstheme="majorBidi"/>
          <w:sz w:val="24"/>
          <w:szCs w:val="24"/>
        </w:rPr>
        <w:t>than</w:t>
      </w:r>
      <w:r w:rsidR="002B2A66" w:rsidRPr="00BD40C9">
        <w:rPr>
          <w:rFonts w:asciiTheme="majorBidi" w:hAnsiTheme="majorBidi" w:cstheme="majorBidi"/>
          <w:sz w:val="24"/>
          <w:szCs w:val="24"/>
        </w:rPr>
        <w:t xml:space="preserve"> the </w:t>
      </w:r>
      <w:r w:rsidR="00957DED">
        <w:rPr>
          <w:rFonts w:asciiTheme="majorBidi" w:hAnsiTheme="majorBidi" w:cstheme="majorBidi"/>
          <w:sz w:val="24"/>
          <w:szCs w:val="24"/>
        </w:rPr>
        <w:t>alive</w:t>
      </w:r>
      <w:r w:rsidR="002B2A66" w:rsidRPr="00BD40C9">
        <w:rPr>
          <w:rFonts w:asciiTheme="majorBidi" w:hAnsiTheme="majorBidi" w:cstheme="majorBidi"/>
          <w:sz w:val="24"/>
          <w:szCs w:val="24"/>
        </w:rPr>
        <w:t xml:space="preserve"> (</w:t>
      </w:r>
      <w:r w:rsidR="002B13D3" w:rsidRPr="00BD40C9">
        <w:rPr>
          <w:rFonts w:asciiTheme="majorBidi" w:hAnsiTheme="majorBidi" w:cstheme="majorBidi"/>
          <w:sz w:val="24"/>
          <w:szCs w:val="24"/>
        </w:rPr>
        <w:t xml:space="preserve">8.49 ± 6.53 </w:t>
      </w:r>
      <w:r w:rsidR="002B2A66" w:rsidRPr="00BD40C9">
        <w:rPr>
          <w:rFonts w:asciiTheme="majorBidi" w:hAnsiTheme="majorBidi" w:cstheme="majorBidi"/>
          <w:sz w:val="24"/>
          <w:szCs w:val="24"/>
        </w:rPr>
        <w:t xml:space="preserve">vs </w:t>
      </w:r>
      <w:r w:rsidR="002B13D3" w:rsidRPr="00BD40C9">
        <w:rPr>
          <w:rFonts w:asciiTheme="majorBidi" w:hAnsiTheme="majorBidi" w:cstheme="majorBidi"/>
          <w:sz w:val="24"/>
          <w:szCs w:val="24"/>
        </w:rPr>
        <w:t>5.05 ± 3.78</w:t>
      </w:r>
      <w:r w:rsidR="002B2A66" w:rsidRPr="00BD40C9">
        <w:rPr>
          <w:rFonts w:asciiTheme="majorBidi" w:hAnsiTheme="majorBidi" w:cstheme="majorBidi"/>
          <w:sz w:val="24"/>
          <w:szCs w:val="24"/>
        </w:rPr>
        <w:t xml:space="preserve">) </w:t>
      </w:r>
      <w:r w:rsidR="002B13D3" w:rsidRPr="00BD40C9">
        <w:rPr>
          <w:rFonts w:asciiTheme="majorBidi" w:hAnsiTheme="majorBidi" w:cstheme="majorBidi"/>
          <w:sz w:val="24"/>
          <w:szCs w:val="24"/>
        </w:rPr>
        <w:t>(</w:t>
      </w:r>
      <w:r w:rsidR="002B2A66" w:rsidRPr="00BD40C9">
        <w:rPr>
          <w:rFonts w:asciiTheme="majorBidi" w:hAnsiTheme="majorBidi" w:cstheme="majorBidi"/>
          <w:sz w:val="24"/>
          <w:szCs w:val="24"/>
        </w:rPr>
        <w:t>P</w:t>
      </w:r>
      <w:r w:rsidR="002B13D3" w:rsidRPr="00BD40C9">
        <w:rPr>
          <w:rFonts w:asciiTheme="majorBidi" w:hAnsiTheme="majorBidi" w:cstheme="majorBidi"/>
          <w:sz w:val="24"/>
          <w:szCs w:val="24"/>
        </w:rPr>
        <w:t>=</w:t>
      </w:r>
      <w:r w:rsidR="002B2A66" w:rsidRPr="00BD40C9">
        <w:rPr>
          <w:rFonts w:asciiTheme="majorBidi" w:hAnsiTheme="majorBidi" w:cstheme="majorBidi"/>
          <w:sz w:val="24"/>
          <w:szCs w:val="24"/>
        </w:rPr>
        <w:t>0.0</w:t>
      </w:r>
      <w:r w:rsidR="002B13D3" w:rsidRPr="00BD40C9">
        <w:rPr>
          <w:rFonts w:asciiTheme="majorBidi" w:hAnsiTheme="majorBidi" w:cstheme="majorBidi"/>
          <w:sz w:val="24"/>
          <w:szCs w:val="24"/>
        </w:rPr>
        <w:t>27)</w:t>
      </w:r>
      <w:r w:rsidR="002B2A66" w:rsidRPr="00BD40C9">
        <w:rPr>
          <w:rFonts w:asciiTheme="majorBidi" w:hAnsiTheme="majorBidi" w:cstheme="majorBidi"/>
          <w:sz w:val="24"/>
          <w:szCs w:val="24"/>
        </w:rPr>
        <w:t>.</w:t>
      </w:r>
      <w:r w:rsidR="005D386D" w:rsidRPr="00BD40C9">
        <w:rPr>
          <w:rFonts w:asciiTheme="majorBidi" w:hAnsiTheme="majorBidi" w:cstheme="majorBidi"/>
          <w:sz w:val="24"/>
          <w:szCs w:val="24"/>
        </w:rPr>
        <w:t xml:space="preserve"> </w:t>
      </w:r>
      <w:r w:rsidR="002B13D3" w:rsidRPr="00BD40C9">
        <w:rPr>
          <w:rFonts w:asciiTheme="majorBidi" w:hAnsiTheme="majorBidi" w:cstheme="majorBidi"/>
          <w:sz w:val="24"/>
          <w:szCs w:val="24"/>
        </w:rPr>
        <w:t>I</w:t>
      </w:r>
      <w:r w:rsidR="005D386D" w:rsidRPr="00BD40C9">
        <w:rPr>
          <w:rFonts w:asciiTheme="majorBidi" w:hAnsiTheme="majorBidi" w:cstheme="majorBidi"/>
          <w:sz w:val="24"/>
          <w:szCs w:val="24"/>
        </w:rPr>
        <w:t xml:space="preserve">n a model of ROC analysis, NLR </w:t>
      </w:r>
      <w:r w:rsidR="002B13D3" w:rsidRPr="00BD40C9">
        <w:rPr>
          <w:rFonts w:asciiTheme="majorBidi" w:hAnsiTheme="majorBidi" w:cstheme="majorBidi"/>
          <w:sz w:val="24"/>
          <w:szCs w:val="24"/>
        </w:rPr>
        <w:t>(AUC 0.702, 95% CI: 0.537 to 0.836; P = 0.0171), Age (AUC 0.674; 95% CI: 0.507 to 0.813; p= 0.0496)</w:t>
      </w:r>
      <w:r w:rsidR="005D386D" w:rsidRPr="00BD40C9">
        <w:rPr>
          <w:rFonts w:asciiTheme="majorBidi" w:hAnsiTheme="majorBidi" w:cstheme="majorBidi"/>
          <w:sz w:val="24"/>
          <w:szCs w:val="24"/>
        </w:rPr>
        <w:t>, underl</w:t>
      </w:r>
      <w:r w:rsidR="00F31F98">
        <w:rPr>
          <w:rFonts w:asciiTheme="majorBidi" w:hAnsiTheme="majorBidi" w:cstheme="majorBidi"/>
          <w:sz w:val="24"/>
          <w:szCs w:val="24"/>
        </w:rPr>
        <w:t>y</w:t>
      </w:r>
      <w:r w:rsidR="005D386D" w:rsidRPr="00BD40C9">
        <w:rPr>
          <w:rFonts w:asciiTheme="majorBidi" w:hAnsiTheme="majorBidi" w:cstheme="majorBidi"/>
          <w:sz w:val="24"/>
          <w:szCs w:val="24"/>
        </w:rPr>
        <w:t xml:space="preserve">ing disease </w:t>
      </w:r>
      <w:r w:rsidR="002B13D3" w:rsidRPr="00BD40C9">
        <w:rPr>
          <w:rFonts w:asciiTheme="majorBidi" w:hAnsiTheme="majorBidi" w:cstheme="majorBidi"/>
          <w:sz w:val="24"/>
          <w:szCs w:val="24"/>
        </w:rPr>
        <w:t>(AUC 0.650; 95% CI: 0.483 to 0.794; p= 0.0126)</w:t>
      </w:r>
      <w:r w:rsidR="005D386D" w:rsidRPr="00BD40C9">
        <w:rPr>
          <w:rFonts w:asciiTheme="majorBidi" w:hAnsiTheme="majorBidi" w:cstheme="majorBidi"/>
          <w:sz w:val="24"/>
          <w:szCs w:val="24"/>
        </w:rPr>
        <w:t>,</w:t>
      </w:r>
      <w:r w:rsidR="002B13D3" w:rsidRPr="00BD40C9">
        <w:rPr>
          <w:rFonts w:asciiTheme="majorBidi" w:hAnsiTheme="majorBidi" w:cstheme="majorBidi"/>
          <w:sz w:val="24"/>
          <w:szCs w:val="24"/>
        </w:rPr>
        <w:t xml:space="preserve"> </w:t>
      </w:r>
      <w:r w:rsidR="005D386D" w:rsidRPr="00BD40C9">
        <w:rPr>
          <w:rFonts w:asciiTheme="majorBidi" w:hAnsiTheme="majorBidi" w:cstheme="majorBidi"/>
          <w:sz w:val="24"/>
          <w:szCs w:val="24"/>
        </w:rPr>
        <w:t xml:space="preserve">and level of consciousness </w:t>
      </w:r>
      <w:r w:rsidR="002B13D3" w:rsidRPr="00BD40C9">
        <w:rPr>
          <w:rFonts w:asciiTheme="majorBidi" w:hAnsiTheme="majorBidi" w:cstheme="majorBidi"/>
          <w:sz w:val="24"/>
          <w:szCs w:val="24"/>
        </w:rPr>
        <w:t>level (AUC 0.946; 95% CI: 0.825 to 0.993; p&lt;0001)</w:t>
      </w:r>
      <w:r w:rsidR="005D386D" w:rsidRPr="00BD40C9">
        <w:rPr>
          <w:rFonts w:asciiTheme="majorBidi" w:hAnsiTheme="majorBidi" w:cstheme="majorBidi"/>
          <w:sz w:val="24"/>
          <w:szCs w:val="24"/>
        </w:rPr>
        <w:t xml:space="preserve"> were </w:t>
      </w:r>
      <w:r w:rsidR="005D386D" w:rsidRPr="00BD40C9">
        <w:rPr>
          <w:rFonts w:asciiTheme="majorBidi" w:hAnsiTheme="majorBidi" w:cstheme="majorBidi"/>
          <w:sz w:val="24"/>
          <w:szCs w:val="24"/>
        </w:rPr>
        <w:lastRenderedPageBreak/>
        <w:t xml:space="preserve">significantly associated with mortality. </w:t>
      </w:r>
      <w:r w:rsidR="002B2A66" w:rsidRPr="00BD40C9">
        <w:rPr>
          <w:rFonts w:asciiTheme="majorBidi" w:hAnsiTheme="majorBidi" w:cstheme="majorBidi"/>
          <w:sz w:val="24"/>
          <w:szCs w:val="24"/>
        </w:rPr>
        <w:t xml:space="preserve">The best predictive </w:t>
      </w:r>
      <w:r w:rsidR="0056673B" w:rsidRPr="00BD40C9">
        <w:rPr>
          <w:rFonts w:asciiTheme="majorBidi" w:hAnsiTheme="majorBidi" w:cstheme="majorBidi"/>
          <w:sz w:val="24"/>
          <w:szCs w:val="24"/>
        </w:rPr>
        <w:t xml:space="preserve">threshold </w:t>
      </w:r>
      <w:r w:rsidR="002B2A66" w:rsidRPr="00BD40C9">
        <w:rPr>
          <w:rFonts w:asciiTheme="majorBidi" w:hAnsiTheme="majorBidi" w:cstheme="majorBidi"/>
          <w:sz w:val="24"/>
          <w:szCs w:val="24"/>
        </w:rPr>
        <w:t xml:space="preserve">of the </w:t>
      </w:r>
      <w:r w:rsidR="0056673B" w:rsidRPr="00BD40C9">
        <w:rPr>
          <w:rFonts w:asciiTheme="majorBidi" w:hAnsiTheme="majorBidi" w:cstheme="majorBidi"/>
          <w:sz w:val="24"/>
          <w:szCs w:val="24"/>
        </w:rPr>
        <w:t>NLR</w:t>
      </w:r>
      <w:r w:rsidR="002B2A66" w:rsidRPr="00BD40C9">
        <w:rPr>
          <w:rFonts w:asciiTheme="majorBidi" w:hAnsiTheme="majorBidi" w:cstheme="majorBidi"/>
          <w:sz w:val="24"/>
          <w:szCs w:val="24"/>
        </w:rPr>
        <w:t xml:space="preserve"> was </w:t>
      </w:r>
      <w:r w:rsidR="003A6E4D">
        <w:rPr>
          <w:rFonts w:asciiTheme="majorBidi" w:hAnsiTheme="majorBidi" w:cstheme="majorBidi"/>
          <w:sz w:val="24"/>
          <w:szCs w:val="24"/>
        </w:rPr>
        <w:t>8.88</w:t>
      </w:r>
      <w:r w:rsidR="009F7E06">
        <w:rPr>
          <w:rFonts w:asciiTheme="majorBidi" w:hAnsiTheme="majorBidi" w:cstheme="majorBidi"/>
          <w:sz w:val="24"/>
          <w:szCs w:val="24"/>
        </w:rPr>
        <w:t xml:space="preserve"> </w:t>
      </w:r>
      <w:r w:rsidR="002B2A66" w:rsidRPr="00BD40C9">
        <w:rPr>
          <w:rFonts w:asciiTheme="majorBidi" w:hAnsiTheme="majorBidi" w:cstheme="majorBidi"/>
          <w:sz w:val="24"/>
          <w:szCs w:val="24"/>
        </w:rPr>
        <w:t xml:space="preserve">(sensitivity, </w:t>
      </w:r>
      <w:r w:rsidR="002B13D3" w:rsidRPr="00BD40C9">
        <w:rPr>
          <w:rFonts w:asciiTheme="majorBidi" w:hAnsiTheme="majorBidi" w:cstheme="majorBidi"/>
          <w:sz w:val="24"/>
          <w:szCs w:val="24"/>
        </w:rPr>
        <w:t>40</w:t>
      </w:r>
      <w:r w:rsidR="002B2A66" w:rsidRPr="00BD40C9">
        <w:rPr>
          <w:rFonts w:asciiTheme="majorBidi" w:hAnsiTheme="majorBidi" w:cstheme="majorBidi"/>
          <w:sz w:val="24"/>
          <w:szCs w:val="24"/>
        </w:rPr>
        <w:t xml:space="preserve">%; specificity, </w:t>
      </w:r>
      <w:r w:rsidR="002B13D3" w:rsidRPr="00BD40C9">
        <w:rPr>
          <w:rFonts w:asciiTheme="majorBidi" w:hAnsiTheme="majorBidi" w:cstheme="majorBidi"/>
          <w:sz w:val="24"/>
          <w:szCs w:val="24"/>
        </w:rPr>
        <w:t>100</w:t>
      </w:r>
      <w:r w:rsidR="002B2A66" w:rsidRPr="00BD40C9">
        <w:rPr>
          <w:rFonts w:asciiTheme="majorBidi" w:hAnsiTheme="majorBidi" w:cstheme="majorBidi"/>
          <w:sz w:val="24"/>
          <w:szCs w:val="24"/>
        </w:rPr>
        <w:t xml:space="preserve">%). </w:t>
      </w:r>
      <w:r w:rsidR="0056673B" w:rsidRPr="00BD40C9">
        <w:rPr>
          <w:rFonts w:asciiTheme="majorBidi" w:hAnsiTheme="majorBidi" w:cstheme="majorBidi"/>
          <w:sz w:val="24"/>
          <w:szCs w:val="24"/>
        </w:rPr>
        <w:t xml:space="preserve">Univariate analysis revealed that NLR in the three groups by GCS in coma and </w:t>
      </w:r>
      <w:proofErr w:type="spellStart"/>
      <w:r w:rsidR="0056673B" w:rsidRPr="00BD40C9">
        <w:rPr>
          <w:rFonts w:asciiTheme="majorBidi" w:hAnsiTheme="majorBidi" w:cstheme="majorBidi"/>
          <w:sz w:val="24"/>
          <w:szCs w:val="24"/>
        </w:rPr>
        <w:t>semicoma</w:t>
      </w:r>
      <w:proofErr w:type="spellEnd"/>
      <w:r w:rsidR="0056673B" w:rsidRPr="00BD40C9">
        <w:rPr>
          <w:rFonts w:asciiTheme="majorBidi" w:hAnsiTheme="majorBidi" w:cstheme="majorBidi"/>
          <w:sz w:val="24"/>
          <w:szCs w:val="24"/>
        </w:rPr>
        <w:t xml:space="preserve"> is more substantially connected to mortality than in the stupor group </w:t>
      </w:r>
      <w:r w:rsidR="002B13D3" w:rsidRPr="00BD40C9">
        <w:rPr>
          <w:rFonts w:asciiTheme="majorBidi" w:hAnsiTheme="majorBidi" w:cstheme="majorBidi"/>
          <w:sz w:val="24"/>
          <w:szCs w:val="24"/>
        </w:rPr>
        <w:t>(p&lt;0.05)</w:t>
      </w:r>
      <w:r w:rsidR="00292C24" w:rsidRPr="00BD40C9">
        <w:rPr>
          <w:rFonts w:asciiTheme="majorBidi" w:hAnsiTheme="majorBidi" w:cstheme="majorBidi"/>
          <w:sz w:val="24"/>
          <w:szCs w:val="24"/>
        </w:rPr>
        <w:t xml:space="preserve">. </w:t>
      </w:r>
      <w:r w:rsidR="0056673B" w:rsidRPr="00BD40C9">
        <w:rPr>
          <w:rFonts w:asciiTheme="majorBidi" w:hAnsiTheme="majorBidi" w:cstheme="majorBidi"/>
          <w:sz w:val="24"/>
          <w:szCs w:val="24"/>
        </w:rPr>
        <w:t xml:space="preserve">According to an adjusted </w:t>
      </w:r>
      <w:r w:rsidR="00F31F98">
        <w:rPr>
          <w:rFonts w:asciiTheme="majorBidi" w:hAnsiTheme="majorBidi" w:cstheme="majorBidi"/>
          <w:sz w:val="24"/>
          <w:szCs w:val="24"/>
        </w:rPr>
        <w:t>m</w:t>
      </w:r>
      <w:r w:rsidR="0056673B" w:rsidRPr="00BD40C9">
        <w:rPr>
          <w:rFonts w:asciiTheme="majorBidi" w:hAnsiTheme="majorBidi" w:cstheme="majorBidi"/>
          <w:sz w:val="24"/>
          <w:szCs w:val="24"/>
        </w:rPr>
        <w:t>ultivariate logistic regression analysis, the level of consciousness upon admission was an independent predictor of mortality and was positively linked with mortality</w:t>
      </w:r>
      <w:r w:rsidR="0094512E" w:rsidRPr="00BD40C9">
        <w:rPr>
          <w:rFonts w:asciiTheme="majorBidi" w:hAnsiTheme="majorBidi" w:cstheme="majorBidi"/>
          <w:sz w:val="24"/>
          <w:szCs w:val="24"/>
        </w:rPr>
        <w:t xml:space="preserve"> (OR: 0.23; 95% CI: 0.08-0.65; p= 0.005).</w:t>
      </w:r>
      <w:r w:rsidR="005D386D" w:rsidRPr="00BD40C9">
        <w:rPr>
          <w:rFonts w:asciiTheme="majorBidi" w:hAnsiTheme="majorBidi" w:cstheme="majorBidi"/>
          <w:sz w:val="24"/>
          <w:szCs w:val="24"/>
        </w:rPr>
        <w:t xml:space="preserve"> </w:t>
      </w:r>
      <w:r w:rsidR="0056673B" w:rsidRPr="00BD40C9">
        <w:rPr>
          <w:rFonts w:asciiTheme="majorBidi" w:hAnsiTheme="majorBidi" w:cstheme="majorBidi"/>
          <w:sz w:val="24"/>
          <w:szCs w:val="24"/>
        </w:rPr>
        <w:t xml:space="preserve">Furthermore, </w:t>
      </w:r>
      <w:r w:rsidR="00F31F98">
        <w:rPr>
          <w:rFonts w:asciiTheme="majorBidi" w:hAnsiTheme="majorBidi" w:cstheme="majorBidi"/>
          <w:sz w:val="24"/>
          <w:szCs w:val="24"/>
        </w:rPr>
        <w:t xml:space="preserve">the </w:t>
      </w:r>
      <w:r w:rsidR="0056673B" w:rsidRPr="00BD40C9">
        <w:rPr>
          <w:rFonts w:asciiTheme="majorBidi" w:hAnsiTheme="majorBidi" w:cstheme="majorBidi"/>
          <w:sz w:val="24"/>
          <w:szCs w:val="24"/>
        </w:rPr>
        <w:t xml:space="preserve">multivariable analysis demonstrated that </w:t>
      </w:r>
      <w:r w:rsidR="00BD40C9" w:rsidRPr="00BD40C9">
        <w:rPr>
          <w:rFonts w:asciiTheme="majorBidi" w:hAnsiTheme="majorBidi" w:cstheme="majorBidi"/>
          <w:sz w:val="24"/>
          <w:szCs w:val="24"/>
        </w:rPr>
        <w:t>NLR&gt;</w:t>
      </w:r>
      <w:r w:rsidR="003A6E4D">
        <w:rPr>
          <w:rFonts w:asciiTheme="majorBidi" w:hAnsiTheme="majorBidi" w:cstheme="majorBidi"/>
          <w:sz w:val="24"/>
          <w:szCs w:val="24"/>
        </w:rPr>
        <w:t>8.88</w:t>
      </w:r>
      <w:r w:rsidR="00BD40C9" w:rsidRPr="00BD40C9">
        <w:rPr>
          <w:rFonts w:asciiTheme="majorBidi" w:hAnsiTheme="majorBidi" w:cstheme="majorBidi"/>
          <w:sz w:val="24"/>
          <w:szCs w:val="24"/>
        </w:rPr>
        <w:t xml:space="preserve"> in combination with GCS&lt;</w:t>
      </w:r>
      <w:r w:rsidR="0056673B" w:rsidRPr="00BD40C9">
        <w:rPr>
          <w:rFonts w:asciiTheme="majorBidi" w:hAnsiTheme="majorBidi" w:cstheme="majorBidi"/>
          <w:sz w:val="24"/>
          <w:szCs w:val="24"/>
        </w:rPr>
        <w:t xml:space="preserve">8 (coma and </w:t>
      </w:r>
      <w:proofErr w:type="spellStart"/>
      <w:r w:rsidR="0056673B" w:rsidRPr="00BD40C9">
        <w:rPr>
          <w:rFonts w:asciiTheme="majorBidi" w:hAnsiTheme="majorBidi" w:cstheme="majorBidi"/>
          <w:sz w:val="24"/>
          <w:szCs w:val="24"/>
        </w:rPr>
        <w:t>semic</w:t>
      </w:r>
      <w:r w:rsidR="00F31F98">
        <w:rPr>
          <w:rFonts w:asciiTheme="majorBidi" w:hAnsiTheme="majorBidi" w:cstheme="majorBidi"/>
          <w:sz w:val="24"/>
          <w:szCs w:val="24"/>
        </w:rPr>
        <w:t>o</w:t>
      </w:r>
      <w:r w:rsidR="0056673B" w:rsidRPr="00BD40C9">
        <w:rPr>
          <w:rFonts w:asciiTheme="majorBidi" w:hAnsiTheme="majorBidi" w:cstheme="majorBidi"/>
          <w:sz w:val="24"/>
          <w:szCs w:val="24"/>
        </w:rPr>
        <w:t>ma</w:t>
      </w:r>
      <w:proofErr w:type="spellEnd"/>
      <w:r w:rsidR="0056673B" w:rsidRPr="00BD40C9">
        <w:rPr>
          <w:rFonts w:asciiTheme="majorBidi" w:hAnsiTheme="majorBidi" w:cstheme="majorBidi"/>
          <w:sz w:val="24"/>
          <w:szCs w:val="24"/>
        </w:rPr>
        <w:t>) on admission had a higher prognostic value for mortality</w:t>
      </w:r>
      <w:r w:rsidR="0094512E" w:rsidRPr="00BD40C9">
        <w:rPr>
          <w:rFonts w:asciiTheme="majorBidi" w:hAnsiTheme="majorBidi" w:cstheme="majorBidi"/>
          <w:sz w:val="24"/>
          <w:szCs w:val="24"/>
        </w:rPr>
        <w:t xml:space="preserve"> (p&lt;0.0001)</w:t>
      </w:r>
      <w:r w:rsidR="002B2A66" w:rsidRPr="00BD40C9">
        <w:rPr>
          <w:rFonts w:asciiTheme="majorBidi" w:hAnsiTheme="majorBidi" w:cstheme="majorBidi"/>
          <w:sz w:val="24"/>
          <w:szCs w:val="24"/>
        </w:rPr>
        <w:t>.</w:t>
      </w:r>
    </w:p>
    <w:p w14:paraId="2F4F4A06" w14:textId="77777777" w:rsidR="00BD40C9" w:rsidRPr="00BD40C9" w:rsidRDefault="0094512E" w:rsidP="009F7E06">
      <w:pPr>
        <w:spacing w:line="360" w:lineRule="auto"/>
        <w:jc w:val="both"/>
        <w:rPr>
          <w:rFonts w:asciiTheme="majorBidi" w:hAnsiTheme="majorBidi" w:cstheme="majorBidi"/>
          <w:sz w:val="24"/>
          <w:szCs w:val="24"/>
        </w:rPr>
      </w:pPr>
      <w:r w:rsidRPr="00BD40C9">
        <w:rPr>
          <w:rFonts w:asciiTheme="majorBidi" w:hAnsiTheme="majorBidi" w:cstheme="majorBidi"/>
          <w:b/>
          <w:bCs/>
          <w:sz w:val="24"/>
          <w:szCs w:val="24"/>
        </w:rPr>
        <w:t>Conclusion</w:t>
      </w:r>
      <w:r w:rsidR="008F785F" w:rsidRPr="00BD40C9">
        <w:rPr>
          <w:rFonts w:asciiTheme="majorBidi" w:hAnsiTheme="majorBidi" w:cstheme="majorBidi"/>
          <w:b/>
          <w:bCs/>
          <w:sz w:val="24"/>
          <w:szCs w:val="24"/>
        </w:rPr>
        <w:t>:</w:t>
      </w:r>
      <w:r w:rsidR="00E64F0D" w:rsidRPr="00BD40C9">
        <w:rPr>
          <w:rFonts w:asciiTheme="majorBidi" w:hAnsiTheme="majorBidi" w:cstheme="majorBidi"/>
          <w:sz w:val="24"/>
          <w:szCs w:val="24"/>
        </w:rPr>
        <w:t xml:space="preserve"> </w:t>
      </w:r>
      <w:r w:rsidR="00BD40C9" w:rsidRPr="00BD40C9">
        <w:rPr>
          <w:rFonts w:asciiTheme="majorBidi" w:hAnsiTheme="majorBidi" w:cstheme="majorBidi"/>
          <w:sz w:val="24"/>
          <w:szCs w:val="24"/>
        </w:rPr>
        <w:t>In the current research, a high NLR (&gt;</w:t>
      </w:r>
      <w:r w:rsidR="003A6E4D">
        <w:rPr>
          <w:rFonts w:asciiTheme="majorBidi" w:hAnsiTheme="majorBidi" w:cstheme="majorBidi"/>
          <w:sz w:val="24"/>
          <w:szCs w:val="24"/>
        </w:rPr>
        <w:t>8.88</w:t>
      </w:r>
      <w:r w:rsidR="00BD40C9" w:rsidRPr="00BD40C9">
        <w:rPr>
          <w:rFonts w:asciiTheme="majorBidi" w:hAnsiTheme="majorBidi" w:cstheme="majorBidi"/>
          <w:sz w:val="24"/>
          <w:szCs w:val="24"/>
        </w:rPr>
        <w:t>)</w:t>
      </w:r>
      <w:r w:rsidR="000106A9">
        <w:rPr>
          <w:rFonts w:asciiTheme="majorBidi" w:hAnsiTheme="majorBidi" w:cstheme="majorBidi"/>
          <w:sz w:val="24"/>
          <w:szCs w:val="24"/>
        </w:rPr>
        <w:t xml:space="preserve"> in CSF</w:t>
      </w:r>
      <w:r w:rsidR="00BD40C9" w:rsidRPr="00BD40C9">
        <w:rPr>
          <w:rFonts w:asciiTheme="majorBidi" w:hAnsiTheme="majorBidi" w:cstheme="majorBidi"/>
          <w:sz w:val="24"/>
          <w:szCs w:val="24"/>
        </w:rPr>
        <w:t xml:space="preserve"> was associated with an increased risk of mortality in individuals with hydrocephalus. When paired with a GSC score of &lt;8, admission NLR &gt; </w:t>
      </w:r>
      <w:r w:rsidR="003A6E4D">
        <w:rPr>
          <w:rFonts w:asciiTheme="majorBidi" w:hAnsiTheme="majorBidi" w:cstheme="majorBidi"/>
          <w:sz w:val="24"/>
          <w:szCs w:val="24"/>
        </w:rPr>
        <w:t>8.88</w:t>
      </w:r>
      <w:r w:rsidR="00BD40C9" w:rsidRPr="00BD40C9">
        <w:rPr>
          <w:rFonts w:asciiTheme="majorBidi" w:hAnsiTheme="majorBidi" w:cstheme="majorBidi"/>
          <w:sz w:val="24"/>
          <w:szCs w:val="24"/>
        </w:rPr>
        <w:t xml:space="preserve"> considerably increases the accuracy of predicting outcomes following EVD.</w:t>
      </w:r>
    </w:p>
    <w:p w14:paraId="0FD79090" w14:textId="77777777" w:rsidR="005C57E6" w:rsidRPr="00BD40C9" w:rsidRDefault="005C57E6" w:rsidP="00E6503F">
      <w:pPr>
        <w:rPr>
          <w:rFonts w:asciiTheme="majorBidi" w:hAnsiTheme="majorBidi" w:cstheme="majorBidi"/>
          <w:sz w:val="24"/>
          <w:szCs w:val="24"/>
        </w:rPr>
      </w:pPr>
      <w:r w:rsidRPr="00BD40C9">
        <w:rPr>
          <w:rFonts w:asciiTheme="majorBidi" w:hAnsiTheme="majorBidi" w:cstheme="majorBidi"/>
          <w:b/>
          <w:bCs/>
          <w:sz w:val="24"/>
          <w:szCs w:val="24"/>
        </w:rPr>
        <w:t xml:space="preserve">Keywords: </w:t>
      </w:r>
      <w:r w:rsidRPr="00BD40C9">
        <w:rPr>
          <w:rFonts w:asciiTheme="majorBidi" w:hAnsiTheme="majorBidi" w:cstheme="majorBidi"/>
          <w:sz w:val="24"/>
          <w:szCs w:val="24"/>
        </w:rPr>
        <w:t xml:space="preserve">NLR, GCS score, </w:t>
      </w:r>
      <w:r w:rsidR="00E6503F">
        <w:rPr>
          <w:rFonts w:asciiTheme="majorBidi" w:hAnsiTheme="majorBidi" w:cstheme="majorBidi"/>
          <w:sz w:val="24"/>
          <w:szCs w:val="24"/>
        </w:rPr>
        <w:t>p</w:t>
      </w:r>
      <w:r w:rsidR="00E6503F" w:rsidRPr="00E6503F">
        <w:rPr>
          <w:rFonts w:asciiTheme="majorBidi" w:hAnsiTheme="majorBidi" w:cstheme="majorBidi"/>
          <w:sz w:val="24"/>
          <w:szCs w:val="24"/>
        </w:rPr>
        <w:t>rognostic value</w:t>
      </w:r>
      <w:r w:rsidRPr="00BD40C9">
        <w:rPr>
          <w:rFonts w:asciiTheme="majorBidi" w:hAnsiTheme="majorBidi" w:cstheme="majorBidi"/>
          <w:sz w:val="24"/>
          <w:szCs w:val="24"/>
        </w:rPr>
        <w:t>, hydrocephalus, EVD</w:t>
      </w:r>
    </w:p>
    <w:p w14:paraId="5BD1A99F" w14:textId="77777777" w:rsidR="00E171E9" w:rsidRDefault="00E171E9" w:rsidP="00E171E9">
      <w:pPr>
        <w:spacing w:line="360" w:lineRule="auto"/>
        <w:jc w:val="both"/>
        <w:rPr>
          <w:rFonts w:asciiTheme="majorBidi" w:hAnsiTheme="majorBidi" w:cstheme="majorBidi"/>
          <w:b/>
          <w:bCs/>
          <w:sz w:val="24"/>
          <w:szCs w:val="24"/>
        </w:rPr>
      </w:pPr>
    </w:p>
    <w:p w14:paraId="15651347" w14:textId="77777777" w:rsidR="00E70100" w:rsidRPr="00E171E9" w:rsidRDefault="00E70100" w:rsidP="00E171E9">
      <w:pPr>
        <w:spacing w:line="360" w:lineRule="auto"/>
        <w:jc w:val="both"/>
        <w:rPr>
          <w:rFonts w:asciiTheme="majorBidi" w:hAnsiTheme="majorBidi" w:cstheme="majorBidi"/>
          <w:b/>
          <w:bCs/>
          <w:sz w:val="24"/>
          <w:szCs w:val="24"/>
        </w:rPr>
      </w:pPr>
      <w:r w:rsidRPr="00E171E9">
        <w:rPr>
          <w:rFonts w:asciiTheme="majorBidi" w:hAnsiTheme="majorBidi" w:cstheme="majorBidi"/>
          <w:b/>
          <w:bCs/>
          <w:sz w:val="24"/>
          <w:szCs w:val="24"/>
        </w:rPr>
        <w:t xml:space="preserve">Introduction </w:t>
      </w:r>
    </w:p>
    <w:p w14:paraId="61A14E74" w14:textId="77777777" w:rsidR="007D7695" w:rsidRPr="00E171E9" w:rsidRDefault="00A23868" w:rsidP="009C0CB3">
      <w:pPr>
        <w:spacing w:line="360" w:lineRule="auto"/>
        <w:jc w:val="both"/>
        <w:rPr>
          <w:rFonts w:asciiTheme="majorBidi" w:hAnsiTheme="majorBidi" w:cstheme="majorBidi"/>
          <w:sz w:val="24"/>
          <w:szCs w:val="24"/>
        </w:rPr>
      </w:pPr>
      <w:r w:rsidRPr="00E171E9">
        <w:rPr>
          <w:rFonts w:asciiTheme="majorBidi" w:hAnsiTheme="majorBidi" w:cstheme="majorBidi"/>
          <w:sz w:val="24"/>
          <w:szCs w:val="24"/>
        </w:rPr>
        <w:t xml:space="preserve">Hydrocephalus is the leading cause of neurosurgical condition globally, which involves </w:t>
      </w:r>
      <w:r w:rsidR="00F31F98">
        <w:rPr>
          <w:rFonts w:asciiTheme="majorBidi" w:hAnsiTheme="majorBidi" w:cstheme="majorBidi"/>
          <w:sz w:val="24"/>
          <w:szCs w:val="24"/>
        </w:rPr>
        <w:t xml:space="preserve">the </w:t>
      </w:r>
      <w:r w:rsidRPr="00E171E9">
        <w:rPr>
          <w:rFonts w:asciiTheme="majorBidi" w:hAnsiTheme="majorBidi" w:cstheme="majorBidi"/>
          <w:sz w:val="24"/>
          <w:szCs w:val="24"/>
        </w:rPr>
        <w:t xml:space="preserve">expansion of the </w:t>
      </w:r>
      <w:r w:rsidR="00CB2FF0" w:rsidRPr="00CB2FF0">
        <w:rPr>
          <w:rFonts w:asciiTheme="majorBidi" w:hAnsiTheme="majorBidi" w:cstheme="majorBidi"/>
          <w:sz w:val="24"/>
          <w:szCs w:val="24"/>
        </w:rPr>
        <w:t xml:space="preserve">brain ventricles filled with cerebrospinal fluid (CSF) </w:t>
      </w:r>
      <w:r w:rsidRPr="00E171E9">
        <w:rPr>
          <w:rFonts w:asciiTheme="majorBidi" w:hAnsiTheme="majorBidi" w:cstheme="majorBidi"/>
          <w:sz w:val="24"/>
          <w:szCs w:val="24"/>
        </w:rPr>
        <w:t>as a result of impaired CSF homeostasis, culminating in progressive dilation of the brain ventricular system</w:t>
      </w:r>
      <w:r w:rsidR="00DC32EA">
        <w:rPr>
          <w:rFonts w:asciiTheme="majorBidi" w:hAnsiTheme="majorBidi" w:cstheme="majorBidi"/>
          <w:sz w:val="24"/>
          <w:szCs w:val="24"/>
        </w:rPr>
        <w:t xml:space="preserve"> </w:t>
      </w:r>
      <w:r w:rsidR="00DC32EA">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&lt;EndNote&gt;&lt;Cite&gt;&lt;Author&gt;Duy&lt;/Author&gt;&lt;Year&gt;2023&lt;/Year&gt;&lt;RecNum&gt;1&lt;/RecNum&gt;&lt;DisplayText&gt;(1)&lt;/DisplayText&gt;&lt;record&gt;&lt;rec-number&gt;1&lt;/rec-number&gt;&lt;foreign-keys&gt;&lt;key app="EN" db-id="rr0ve5twvwadv9eezf4x2wz3awv0sxessv5p" timestamp="1687790244"&gt;1&lt;/key&gt;&lt;/foreign-keys&gt;&lt;ref-type name="Journal Article"&gt;17&lt;/ref-type&gt;&lt;contributors&gt;&lt;authors&gt;&lt;author&gt;Duy, Phan Q&lt;/author&gt;&lt;author&gt;Rakic, Pasko&lt;/author&gt;&lt;author&gt;Alper, Seth L&lt;/author&gt;&lt;author&gt;Robert, Stephanie M&lt;/author&gt;&lt;author&gt;Kundishora, Adam J&lt;/author&gt;&lt;author&gt;Butler, William E&lt;/author&gt;&lt;author&gt;Walsh, Christopher A&lt;/author&gt;&lt;author&gt;Sestan, Nenad&lt;/author&gt;&lt;author&gt;Geschwind, Daniel H&lt;/author&gt;&lt;author&gt;Jin, Sheng Chih&lt;/author&gt;&lt;/authors&gt;&lt;/contributors&gt;&lt;titles&gt;&lt;title&gt;A neural stem cell paradigm of pediatric hydrocephalus&lt;/title&gt;&lt;secondary-title&gt;Cerebral Cortex&lt;/secondary-title&gt;&lt;/titles&gt;&lt;periodical&gt;&lt;full-title&gt;Cerebral Cortex&lt;/full-title&gt;&lt;/periodical&gt;&lt;pages&gt;4262-4279&lt;/pages&gt;&lt;volume&gt;33&lt;/volume&gt;&lt;number&gt;8&lt;/number&gt;&lt;dates&gt;&lt;year&gt;2023&lt;/year&gt;&lt;/dates&gt;&lt;isbn&gt;1047-3211&lt;/isbn&gt;&lt;urls&gt;&lt;/urls&gt;&lt;/record&gt;&lt;/Cite&gt;&lt;/EndNote&gt;</w:instrText>
      </w:r>
      <w:r w:rsidR="00DC32EA">
        <w:rPr>
          <w:rFonts w:asciiTheme="majorBidi" w:hAnsiTheme="majorBidi" w:cstheme="majorBidi"/>
          <w:sz w:val="24"/>
          <w:szCs w:val="24"/>
        </w:rPr>
        <w:fldChar w:fldCharType="separate"/>
      </w:r>
      <w:r w:rsidR="009C0CB3">
        <w:rPr>
          <w:rFonts w:asciiTheme="majorBidi" w:hAnsiTheme="majorBidi" w:cstheme="majorBidi"/>
          <w:noProof/>
          <w:sz w:val="24"/>
          <w:szCs w:val="24"/>
        </w:rPr>
        <w:t>(1)</w:t>
      </w:r>
      <w:r w:rsidR="00DC32EA">
        <w:rPr>
          <w:rFonts w:asciiTheme="majorBidi" w:hAnsiTheme="majorBidi" w:cstheme="majorBidi"/>
          <w:sz w:val="24"/>
          <w:szCs w:val="24"/>
        </w:rPr>
        <w:fldChar w:fldCharType="end"/>
      </w:r>
      <w:r w:rsidRPr="00E171E9">
        <w:rPr>
          <w:rFonts w:asciiTheme="majorBidi" w:hAnsiTheme="majorBidi" w:cstheme="majorBidi"/>
          <w:sz w:val="24"/>
          <w:szCs w:val="24"/>
        </w:rPr>
        <w:t>. Regardless of the cause, hydrocephalus is frequently defined by elevated intracranial pressure, enlarged ventricular chambers from CSF accumulation, and brain structural damage, which can lead to neurological deterioration, coma, and death if not treated</w:t>
      </w:r>
      <w:r w:rsidR="00DC32EA">
        <w:rPr>
          <w:rFonts w:asciiTheme="majorBidi" w:hAnsiTheme="majorBidi" w:cstheme="majorBidi"/>
          <w:sz w:val="24"/>
          <w:szCs w:val="24"/>
        </w:rPr>
        <w:t xml:space="preserve"> </w:t>
      </w:r>
      <w:r w:rsidR="00DC32EA">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&lt;EndNote&gt;&lt;Cite&gt;&lt;Author&gt;Juhler&lt;/Author&gt;&lt;Year&gt;2020&lt;/Year&gt;&lt;RecNum&gt;2&lt;/RecNum&gt;&lt;DisplayText&gt;(2)&lt;/DisplayText&gt;&lt;record&gt;&lt;rec-number&gt;2&lt;/rec-number&gt;&lt;foreign-keys&gt;&lt;key app="EN" db-id="rr0ve5twvwadv9eezf4x2wz3awv0sxessv5p" timestamp="1687790341"&gt;2&lt;/key&gt;&lt;/foreign-keys&gt;&lt;ref-type name="Book"&gt;6&lt;/ref-type&gt;&lt;contributors&gt;&lt;authors&gt;&lt;author&gt;Juhler, Marianne&lt;/author&gt;&lt;/authors&gt;&lt;/contributors&gt;&lt;titles&gt;&lt;title&gt;Hydrocephalus&lt;/title&gt;&lt;/titles&gt;&lt;dates&gt;&lt;year&gt;2020&lt;/year&gt;&lt;/dates&gt;&lt;publisher&gt;Springer&lt;/publisher&gt;&lt;isbn&gt;1071605356&lt;/isbn&gt;&lt;urls&gt;&lt;/urls&gt;&lt;/record&gt;&lt;/Cite&gt;&lt;/EndNote&gt;</w:instrText>
      </w:r>
      <w:r w:rsidR="00DC32EA">
        <w:rPr>
          <w:rFonts w:asciiTheme="majorBidi" w:hAnsiTheme="majorBidi" w:cstheme="majorBidi"/>
          <w:sz w:val="24"/>
          <w:szCs w:val="24"/>
        </w:rPr>
        <w:fldChar w:fldCharType="separate"/>
      </w:r>
      <w:r w:rsidR="009C0CB3">
        <w:rPr>
          <w:rFonts w:asciiTheme="majorBidi" w:hAnsiTheme="majorBidi" w:cstheme="majorBidi"/>
          <w:noProof/>
          <w:sz w:val="24"/>
          <w:szCs w:val="24"/>
        </w:rPr>
        <w:t>(2)</w:t>
      </w:r>
      <w:r w:rsidR="00DC32EA">
        <w:rPr>
          <w:rFonts w:asciiTheme="majorBidi" w:hAnsiTheme="majorBidi" w:cstheme="majorBidi"/>
          <w:sz w:val="24"/>
          <w:szCs w:val="24"/>
        </w:rPr>
        <w:fldChar w:fldCharType="end"/>
      </w:r>
      <w:r w:rsidRPr="00E171E9">
        <w:rPr>
          <w:rFonts w:asciiTheme="majorBidi" w:hAnsiTheme="majorBidi" w:cstheme="majorBidi"/>
          <w:sz w:val="24"/>
          <w:szCs w:val="24"/>
        </w:rPr>
        <w:t xml:space="preserve">. </w:t>
      </w:r>
      <w:r w:rsidR="007D7695" w:rsidRPr="00E171E9">
        <w:rPr>
          <w:rFonts w:asciiTheme="majorBidi" w:hAnsiTheme="majorBidi" w:cstheme="majorBidi"/>
          <w:sz w:val="24"/>
          <w:szCs w:val="24"/>
        </w:rPr>
        <w:t>When hydrocephalus is diagnosed, CSF diversion is required to keep normal cerebral pressure. The insertion of an external ventricular drain (EVD) is the initial therapy for acute hydrocephalus, allowing for the diverting and controlling of excess CSF dependent on the total drainage status to mitigate the related rise in intracranial pressure (ICP), which, if left untreated, may contribute to lower brain circulation and later neurological impairment</w:t>
      </w:r>
      <w:r w:rsidR="00DC32EA">
        <w:rPr>
          <w:rFonts w:asciiTheme="majorBidi" w:hAnsiTheme="majorBidi" w:cstheme="majorBidi"/>
          <w:sz w:val="24"/>
          <w:szCs w:val="24"/>
        </w:rPr>
        <w:t xml:space="preserve"> </w:t>
      </w:r>
      <w:r w:rsidR="00DC32EA">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&lt;EndNote&gt;&lt;Cite&gt;&lt;Author&gt;Capion&lt;/Author&gt;&lt;Year&gt;2023&lt;/Year&gt;&lt;RecNum&gt;3&lt;/RecNum&gt;&lt;DisplayText&gt;(3)&lt;/DisplayText&gt;&lt;record&gt;&lt;rec-number&gt;3&lt;/rec-number&gt;&lt;foreign-keys&gt;&lt;key app="EN" db-id="rr0ve5twvwadv9eezf4x2wz3awv0sxessv5p" timestamp="1687790400"&gt;3&lt;/key&gt;&lt;/foreign-keys&gt;&lt;ref-type name="Journal Article"&gt;17&lt;/ref-type&gt;&lt;contributors&gt;&lt;authors&gt;&lt;author&gt;Capion, Tenna&lt;/author&gt;&lt;author&gt;Lilja</w:instrText>
      </w:r>
      <w:r w:rsidR="009C0CB3">
        <w:rPr>
          <w:rFonts w:ascii="Cambria Math" w:hAnsi="Cambria Math" w:cs="Cambria Math"/>
          <w:sz w:val="24"/>
          <w:szCs w:val="24"/>
        </w:rPr>
        <w:instrText>‐</w:instrText>
      </w:r>
      <w:r w:rsidR="009C0CB3">
        <w:rPr>
          <w:rFonts w:asciiTheme="majorBidi" w:hAnsiTheme="majorBidi" w:cstheme="majorBidi"/>
          <w:sz w:val="24"/>
          <w:szCs w:val="24"/>
        </w:rPr>
        <w:instrText>Cyron, Alexander&lt;/author&gt;&lt;author&gt;Olsen, Markus Harboe&lt;/author&gt;&lt;author&gt;Juhler, Marianne&lt;/author&gt;&lt;author&gt;Møller, Kirsten&lt;/author&gt;&lt;author&gt;Sorteberg, Angelika&lt;/author&gt;&lt;author&gt;Rønning, Pål André&lt;/author&gt;&lt;author&gt;Poulsen, Frantz Rom&lt;/author&gt;&lt;author&gt;Wismann, Joakim&lt;/author&gt;&lt;author&gt;Ravlo, Celina&lt;/author&gt;&lt;/authors&gt;&lt;/contributors&gt;&lt;titles&gt;&lt;title&gt;Prompt closure versus gradual weaning of external ventricular drainage for hydrocephalus following aneurysmal subarachnoid haemorrhage: Protocol for the DRAIN randomised clinical trial&lt;/title&gt;&lt;secondary-title&gt;Acta Anaesthesiologica Scandinavica&lt;/secondary-title&gt;&lt;/titles&gt;&lt;periodical&gt;&lt;full-title&gt;Acta Anaesthesiologica Scandinavica&lt;/full-title&gt;&lt;/periodical&gt;&lt;dates&gt;&lt;year&gt;2023&lt;/year&gt;&lt;/dates&gt;&lt;isbn&gt;0001-5172&lt;/isbn&gt;&lt;urls&gt;&lt;/urls&gt;&lt;/record&gt;&lt;/Cite&gt;&lt;/EndNote&gt;</w:instrText>
      </w:r>
      <w:r w:rsidR="00DC32EA">
        <w:rPr>
          <w:rFonts w:asciiTheme="majorBidi" w:hAnsiTheme="majorBidi" w:cstheme="majorBidi"/>
          <w:sz w:val="24"/>
          <w:szCs w:val="24"/>
        </w:rPr>
        <w:fldChar w:fldCharType="separate"/>
      </w:r>
      <w:r w:rsidR="009C0CB3">
        <w:rPr>
          <w:rFonts w:asciiTheme="majorBidi" w:hAnsiTheme="majorBidi" w:cstheme="majorBidi"/>
          <w:noProof/>
          <w:sz w:val="24"/>
          <w:szCs w:val="24"/>
        </w:rPr>
        <w:t>(3)</w:t>
      </w:r>
      <w:r w:rsidR="00DC32EA">
        <w:rPr>
          <w:rFonts w:asciiTheme="majorBidi" w:hAnsiTheme="majorBidi" w:cstheme="majorBidi"/>
          <w:sz w:val="24"/>
          <w:szCs w:val="24"/>
        </w:rPr>
        <w:fldChar w:fldCharType="end"/>
      </w:r>
      <w:r w:rsidR="007D7695" w:rsidRPr="00E171E9">
        <w:rPr>
          <w:rFonts w:asciiTheme="majorBidi" w:hAnsiTheme="majorBidi" w:cstheme="majorBidi"/>
          <w:sz w:val="24"/>
          <w:szCs w:val="24"/>
        </w:rPr>
        <w:t>.</w:t>
      </w:r>
    </w:p>
    <w:p w14:paraId="044B92CF" w14:textId="77777777" w:rsidR="005F4932" w:rsidRPr="00E171E9" w:rsidRDefault="00773CF8" w:rsidP="009C0CB3">
      <w:pPr>
        <w:spacing w:line="360" w:lineRule="auto"/>
        <w:jc w:val="both"/>
        <w:rPr>
          <w:rFonts w:asciiTheme="majorBidi" w:hAnsiTheme="majorBidi" w:cstheme="majorBidi"/>
          <w:sz w:val="24"/>
          <w:szCs w:val="24"/>
        </w:rPr>
      </w:pPr>
      <w:r w:rsidRPr="00E171E9">
        <w:rPr>
          <w:rFonts w:asciiTheme="majorBidi" w:hAnsiTheme="majorBidi" w:cstheme="majorBidi"/>
          <w:sz w:val="24"/>
          <w:szCs w:val="24"/>
        </w:rPr>
        <w:t xml:space="preserve">Several studies have found </w:t>
      </w:r>
      <w:r w:rsidR="00CB2FF0">
        <w:rPr>
          <w:rFonts w:asciiTheme="majorBidi" w:hAnsiTheme="majorBidi" w:cstheme="majorBidi"/>
          <w:sz w:val="24"/>
          <w:szCs w:val="24"/>
        </w:rPr>
        <w:t>b</w:t>
      </w:r>
      <w:r w:rsidR="00CB2FF0" w:rsidRPr="00CB2FF0">
        <w:rPr>
          <w:rFonts w:asciiTheme="majorBidi" w:hAnsiTheme="majorBidi" w:cstheme="majorBidi"/>
          <w:sz w:val="24"/>
          <w:szCs w:val="24"/>
        </w:rPr>
        <w:t xml:space="preserve">rain and CSF inflammation </w:t>
      </w:r>
      <w:r w:rsidRPr="00E171E9">
        <w:rPr>
          <w:rFonts w:asciiTheme="majorBidi" w:hAnsiTheme="majorBidi" w:cstheme="majorBidi"/>
          <w:sz w:val="24"/>
          <w:szCs w:val="24"/>
        </w:rPr>
        <w:t>after EVD treatment in both post</w:t>
      </w:r>
      <w:r w:rsidR="00DC32EA" w:rsidRPr="00E171E9">
        <w:rPr>
          <w:rFonts w:asciiTheme="majorBidi" w:hAnsiTheme="majorBidi" w:cstheme="majorBidi"/>
          <w:sz w:val="24"/>
          <w:szCs w:val="24"/>
        </w:rPr>
        <w:t>hemorrhagic</w:t>
      </w:r>
      <w:r w:rsidRPr="00E171E9">
        <w:rPr>
          <w:rFonts w:asciiTheme="majorBidi" w:hAnsiTheme="majorBidi" w:cstheme="majorBidi"/>
          <w:sz w:val="24"/>
          <w:szCs w:val="24"/>
        </w:rPr>
        <w:t xml:space="preserve"> and po</w:t>
      </w:r>
      <w:r w:rsidR="00CB2FF0">
        <w:rPr>
          <w:rFonts w:asciiTheme="majorBidi" w:hAnsiTheme="majorBidi" w:cstheme="majorBidi"/>
          <w:sz w:val="24"/>
          <w:szCs w:val="24"/>
        </w:rPr>
        <w:t>stinfectious hydrocephalus</w:t>
      </w:r>
      <w:r w:rsidR="009872B1">
        <w:rPr>
          <w:rFonts w:asciiTheme="majorBidi" w:hAnsiTheme="majorBidi" w:cstheme="majorBidi"/>
          <w:sz w:val="24"/>
          <w:szCs w:val="24"/>
        </w:rPr>
        <w:t xml:space="preserve"> </w:t>
      </w:r>
      <w:r w:rsidR="009872B1">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&lt;EndNote&gt;&lt;Cite&gt;&lt;Author&gt;Gaderer&lt;/Author&gt;&lt;Year&gt;2018&lt;/Year&gt;&lt;RecNum&gt;4&lt;/RecNum&gt;&lt;DisplayText&gt;(4)&lt;/DisplayText&gt;&lt;record&gt;&lt;rec-number&gt;4&lt;/rec-number&gt;&lt;foreign-keys&gt;&lt;key app="EN" db-id="rr0ve5twvwadv9eezf4x2wz3awv0sxessv5p" timestamp="1687790506"&gt;4&lt;/key&gt;&lt;/foreign-keys&gt;&lt;ref-type name="Journal Article"&gt;17&lt;/ref-type&gt;&lt;contributors&gt;&lt;authors&gt;&lt;author&gt;Gaderer, C&lt;/author&gt;&lt;author&gt;Schaumann, A&lt;/author&gt;&lt;author&gt;Schulz, M&lt;/author&gt;&lt;author&gt;Thomale, UW&lt;/author&gt;&lt;/authors&gt;&lt;/contributors&gt;&lt;titles&gt;&lt;title&gt;Neuroendoscopic lavage for the treatment of CSF infection with hydrocephalus in children&lt;/title&gt;&lt;secondary-title&gt;Child&amp;apos;s Nervous System&lt;/secondary-title&gt;&lt;/titles&gt;&lt;periodical&gt;&lt;full-title&gt;Child&amp;apos;s Nervous System&lt;/full-title&gt;&lt;/periodical&gt;&lt;pages&gt;1893-1903&lt;/pages&gt;&lt;volume&gt;34&lt;/volume&gt;&lt;dates&gt;&lt;year&gt;2018&lt;/year&gt;&lt;/dates&gt;&lt;isbn&gt;0256-7040&lt;/isbn&gt;&lt;urls&gt;&lt;/urls&gt;&lt;/record&gt;&lt;/Cite&gt;&lt;/EndNote&gt;</w:instrText>
      </w:r>
      <w:r w:rsidR="009872B1">
        <w:rPr>
          <w:rFonts w:asciiTheme="majorBidi" w:hAnsiTheme="majorBidi" w:cstheme="majorBidi"/>
          <w:sz w:val="24"/>
          <w:szCs w:val="24"/>
        </w:rPr>
        <w:fldChar w:fldCharType="separate"/>
      </w:r>
      <w:r w:rsidR="009C0CB3">
        <w:rPr>
          <w:rFonts w:asciiTheme="majorBidi" w:hAnsiTheme="majorBidi" w:cstheme="majorBidi"/>
          <w:noProof/>
          <w:sz w:val="24"/>
          <w:szCs w:val="24"/>
        </w:rPr>
        <w:t>(4)</w:t>
      </w:r>
      <w:r w:rsidR="009872B1">
        <w:rPr>
          <w:rFonts w:asciiTheme="majorBidi" w:hAnsiTheme="majorBidi" w:cstheme="majorBidi"/>
          <w:sz w:val="24"/>
          <w:szCs w:val="24"/>
        </w:rPr>
        <w:fldChar w:fldCharType="end"/>
      </w:r>
      <w:r w:rsidRPr="00E171E9">
        <w:rPr>
          <w:rFonts w:asciiTheme="majorBidi" w:hAnsiTheme="majorBidi" w:cstheme="majorBidi"/>
          <w:sz w:val="24"/>
          <w:szCs w:val="24"/>
        </w:rPr>
        <w:t xml:space="preserve">. Although the restoration of inflammatory responses is critical for the removal of invading pathogens, damaged cells, and irritating </w:t>
      </w:r>
      <w:r w:rsidRPr="00E171E9">
        <w:rPr>
          <w:rFonts w:asciiTheme="majorBidi" w:hAnsiTheme="majorBidi" w:cstheme="majorBidi"/>
          <w:sz w:val="24"/>
          <w:szCs w:val="24"/>
        </w:rPr>
        <w:lastRenderedPageBreak/>
        <w:t xml:space="preserve">substances, it can also develop or promote </w:t>
      </w:r>
      <w:r w:rsidR="00F31F98">
        <w:rPr>
          <w:rFonts w:asciiTheme="majorBidi" w:hAnsiTheme="majorBidi" w:cstheme="majorBidi"/>
          <w:sz w:val="24"/>
          <w:szCs w:val="24"/>
        </w:rPr>
        <w:t xml:space="preserve">the </w:t>
      </w:r>
      <w:r w:rsidRPr="00E171E9">
        <w:rPr>
          <w:rFonts w:asciiTheme="majorBidi" w:hAnsiTheme="majorBidi" w:cstheme="majorBidi"/>
          <w:sz w:val="24"/>
          <w:szCs w:val="24"/>
        </w:rPr>
        <w:t>disease if it is incorrectly induced or prolonged. The presence of multiple inflammatory agents in the circulatory system or CSF has been linked to an increased risk for post-hemorrhagic or post</w:t>
      </w:r>
      <w:r w:rsidR="00F2356B">
        <w:rPr>
          <w:rFonts w:asciiTheme="majorBidi" w:hAnsiTheme="majorBidi" w:cstheme="majorBidi"/>
          <w:sz w:val="24"/>
          <w:szCs w:val="24"/>
        </w:rPr>
        <w:t>-</w:t>
      </w:r>
      <w:r w:rsidRPr="00E171E9">
        <w:rPr>
          <w:rFonts w:asciiTheme="majorBidi" w:hAnsiTheme="majorBidi" w:cstheme="majorBidi"/>
          <w:sz w:val="24"/>
          <w:szCs w:val="24"/>
        </w:rPr>
        <w:t>infectious hydrocephalus, as well as a greater degree of symptoms</w:t>
      </w:r>
      <w:r w:rsidR="009872B1">
        <w:rPr>
          <w:rFonts w:asciiTheme="majorBidi" w:hAnsiTheme="majorBidi" w:cstheme="majorBidi"/>
          <w:sz w:val="24"/>
          <w:szCs w:val="24"/>
        </w:rPr>
        <w:t xml:space="preserve"> </w:t>
      </w:r>
      <w:r w:rsidR="009872B1">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&lt;EndNote&gt;&lt;Cite&gt;&lt;Author&gt;Robert&lt;/Author&gt;&lt;Year&gt;2023&lt;/Year&gt;&lt;RecNum&gt;5&lt;/RecNum&gt;&lt;DisplayText&gt;(5)&lt;/DisplayText&gt;&lt;record&gt;&lt;rec-number&gt;5&lt;/rec-number&gt;&lt;foreign-keys&gt;&lt;key app="EN" db-id="rr0ve5twvwadv9eezf4x2wz3awv0sxessv5p" timestamp="1687790685"&gt;5&lt;/key&gt;&lt;/foreign-keys&gt;&lt;ref-type name="Journal Article"&gt;17&lt;/ref-type&gt;&lt;contributors&gt;&lt;authors&gt;&lt;author&gt;Robert, Stephanie M&lt;/author&gt;&lt;author&gt;Reeves, Benjamin C&lt;/author&gt;&lt;author&gt;Kiziltug, Emre&lt;/author&gt;&lt;author&gt;Duy, Phan Q&lt;/author&gt;&lt;author&gt;Karimy, Jason K&lt;/author&gt;&lt;author&gt;Mansuri, M Shahid&lt;/author&gt;&lt;author&gt;Marlier, Arnaud&lt;/author&gt;&lt;author&gt;Allington, Garrett&lt;/author&gt;&lt;author&gt;Greenberg, Ana BW&lt;/author&gt;&lt;author&gt;DeSpenza, Tyrone&lt;/author&gt;&lt;/authors&gt;&lt;/contributors&gt;&lt;titles&gt;&lt;title&gt;The choroid plexus links innate immunity to CSF dysregulation in hydrocephalus&lt;/title&gt;&lt;secondary-title&gt;Cell&lt;/secondary-title&gt;&lt;/titles&gt;&lt;periodical&gt;&lt;full-title&gt;Cell&lt;/full-title&gt;&lt;/periodical&gt;&lt;pages&gt;764-785. e21&lt;/pages&gt;&lt;volume&gt;186&lt;/volume&gt;&lt;number&gt;4&lt;/number&gt;&lt;dates&gt;&lt;year&gt;2023&lt;/year&gt;&lt;/dates&gt;&lt;isbn&gt;0092-8674&lt;/isbn&gt;&lt;urls&gt;&lt;/urls&gt;&lt;/record&gt;&lt;/Cite&gt;&lt;/EndNote&gt;</w:instrText>
      </w:r>
      <w:r w:rsidR="009872B1">
        <w:rPr>
          <w:rFonts w:asciiTheme="majorBidi" w:hAnsiTheme="majorBidi" w:cstheme="majorBidi"/>
          <w:sz w:val="24"/>
          <w:szCs w:val="24"/>
        </w:rPr>
        <w:fldChar w:fldCharType="separate"/>
      </w:r>
      <w:r w:rsidR="009C0CB3">
        <w:rPr>
          <w:rFonts w:asciiTheme="majorBidi" w:hAnsiTheme="majorBidi" w:cstheme="majorBidi"/>
          <w:noProof/>
          <w:sz w:val="24"/>
          <w:szCs w:val="24"/>
        </w:rPr>
        <w:t>(5)</w:t>
      </w:r>
      <w:r w:rsidR="009872B1">
        <w:rPr>
          <w:rFonts w:asciiTheme="majorBidi" w:hAnsiTheme="majorBidi" w:cstheme="majorBidi"/>
          <w:sz w:val="24"/>
          <w:szCs w:val="24"/>
        </w:rPr>
        <w:fldChar w:fldCharType="end"/>
      </w:r>
      <w:r w:rsidRPr="00E171E9">
        <w:rPr>
          <w:rFonts w:asciiTheme="majorBidi" w:hAnsiTheme="majorBidi" w:cstheme="majorBidi"/>
          <w:sz w:val="24"/>
          <w:szCs w:val="24"/>
        </w:rPr>
        <w:t xml:space="preserve">. There is accumulating evidence that an immune-related inflammation in the central nervous system (CNS) is a major cause of </w:t>
      </w:r>
      <w:r w:rsidR="00D85CF1" w:rsidRPr="00D85CF1">
        <w:rPr>
          <w:rFonts w:asciiTheme="majorBidi" w:hAnsiTheme="majorBidi" w:cstheme="majorBidi"/>
          <w:sz w:val="24"/>
          <w:szCs w:val="24"/>
        </w:rPr>
        <w:t xml:space="preserve">initial posttraumatic cerebral damage </w:t>
      </w:r>
      <w:r w:rsidRPr="00E171E9">
        <w:rPr>
          <w:rFonts w:asciiTheme="majorBidi" w:hAnsiTheme="majorBidi" w:cstheme="majorBidi"/>
          <w:sz w:val="24"/>
          <w:szCs w:val="24"/>
        </w:rPr>
        <w:t>and related clinical outcomes</w:t>
      </w:r>
      <w:r w:rsidR="009872B1">
        <w:rPr>
          <w:rFonts w:asciiTheme="majorBidi" w:hAnsiTheme="majorBidi" w:cstheme="majorBidi"/>
          <w:sz w:val="24"/>
          <w:szCs w:val="24"/>
        </w:rPr>
        <w:t xml:space="preserve"> </w:t>
      </w:r>
      <w:r w:rsidR="009872B1">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&lt;EndNote&gt;&lt;Cite&gt;&lt;Author&gt;Risbrough&lt;/Author&gt;&lt;Year&gt;2022&lt;/Year&gt;&lt;RecNum&gt;6&lt;/RecNum&gt;&lt;DisplayText&gt;(6)&lt;/DisplayText&gt;&lt;record&gt;&lt;rec-number&gt;6&lt;/rec-number&gt;&lt;foreign-keys&gt;&lt;key app="EN" db-id="rr0ve5twvwadv9eezf4x2wz3awv0sxessv5p" timestamp="1687790742"&gt;6&lt;/key&gt;&lt;/foreign-keys&gt;&lt;ref-type name="Journal Article"&gt;17&lt;/ref-type&gt;&lt;contributors&gt;&lt;authors&gt;&lt;author&gt;Risbrough, Victoria B&lt;/author&gt;&lt;author&gt;Vaughn, Melonie N&lt;/author&gt;&lt;author&gt;Friend, Samantha F&lt;/author&gt;&lt;/authors&gt;&lt;/contributors&gt;&lt;titles&gt;&lt;title&gt;Role of inflammation in traumatic brain injury–associated risk for neuropsychiatric disorders: state of the evidence and where do we go from here&lt;/title&gt;&lt;secondary-title&gt;Biological psychiatry&lt;/secondary-title&gt;&lt;/titles&gt;&lt;periodical&gt;&lt;full-title&gt;Biological psychiatry&lt;/full-title&gt;&lt;/periodical&gt;&lt;pages&gt;438-448&lt;/pages&gt;&lt;volume&gt;91&lt;/volume&gt;&lt;number&gt;5&lt;/number&gt;&lt;dates&gt;&lt;year&gt;2022&lt;/year&gt;&lt;/dates&gt;&lt;isbn&gt;0006-3223&lt;/isbn&gt;&lt;urls&gt;&lt;/urls&gt;&lt;/record&gt;&lt;/Cite&gt;&lt;/EndNote&gt;</w:instrText>
      </w:r>
      <w:r w:rsidR="009872B1">
        <w:rPr>
          <w:rFonts w:asciiTheme="majorBidi" w:hAnsiTheme="majorBidi" w:cstheme="majorBidi"/>
          <w:sz w:val="24"/>
          <w:szCs w:val="24"/>
        </w:rPr>
        <w:fldChar w:fldCharType="separate"/>
      </w:r>
      <w:r w:rsidR="009C0CB3">
        <w:rPr>
          <w:rFonts w:asciiTheme="majorBidi" w:hAnsiTheme="majorBidi" w:cstheme="majorBidi"/>
          <w:noProof/>
          <w:sz w:val="24"/>
          <w:szCs w:val="24"/>
        </w:rPr>
        <w:t>(6)</w:t>
      </w:r>
      <w:r w:rsidR="009872B1">
        <w:rPr>
          <w:rFonts w:asciiTheme="majorBidi" w:hAnsiTheme="majorBidi" w:cstheme="majorBidi"/>
          <w:sz w:val="24"/>
          <w:szCs w:val="24"/>
        </w:rPr>
        <w:fldChar w:fldCharType="end"/>
      </w:r>
      <w:r w:rsidRPr="00E171E9">
        <w:rPr>
          <w:rFonts w:asciiTheme="majorBidi" w:hAnsiTheme="majorBidi" w:cstheme="majorBidi"/>
          <w:sz w:val="24"/>
          <w:szCs w:val="24"/>
        </w:rPr>
        <w:t xml:space="preserve">. </w:t>
      </w:r>
      <w:r w:rsidR="005F4932" w:rsidRPr="00E171E9">
        <w:rPr>
          <w:rFonts w:asciiTheme="majorBidi" w:hAnsiTheme="majorBidi" w:cstheme="majorBidi"/>
          <w:sz w:val="24"/>
          <w:szCs w:val="24"/>
        </w:rPr>
        <w:t>According to experimental and clinical research, EVD activates and proliferates several leukocyte subtypes (e.g., neutrophils, lymphocytes) in mouse models and humans</w:t>
      </w:r>
      <w:r w:rsidR="00932224">
        <w:rPr>
          <w:rFonts w:asciiTheme="majorBidi" w:hAnsiTheme="majorBidi" w:cstheme="majorBidi"/>
          <w:sz w:val="24"/>
          <w:szCs w:val="24"/>
        </w:rPr>
        <w:t xml:space="preserve"> of hydrocephalus </w:t>
      </w:r>
      <w:r w:rsidR="00932224">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&lt;EndNote&gt;&lt;Cite&gt;&lt;Author&gt;Cuoco&lt;/Author&gt;&lt;Year&gt;2022&lt;/Year&gt;&lt;RecNum&gt;7&lt;/RecNum&gt;&lt;DisplayText&gt;(7, 8)&lt;/DisplayText&gt;&lt;record&gt;&lt;rec-number&gt;7&lt;/rec-number&gt;&lt;foreign-keys&gt;&lt;key app="EN" db-id="rr0ve5twvwadv9eezf4x2wz3awv0sxessv5p" timestamp="1687792157"&gt;7&lt;/key&gt;&lt;/foreign-keys&gt;&lt;ref-type name="Journal Article"&gt;17&lt;/ref-type&gt;&lt;contributors&gt;&lt;authors&gt;&lt;author&gt;Cuoco, Joshua A&lt;/author&gt;&lt;author&gt;Guilliams, Evin L&lt;/author&gt;&lt;author&gt;Klein, Brendan J&lt;/author&gt;&lt;author&gt;Witcher, Mark R&lt;/author&gt;&lt;author&gt;Marvin, Eric A&lt;/author&gt;&lt;author&gt;Patel, Biraj M&lt;/author&gt;&lt;author&gt;Entwistle, John J&lt;/author&gt;&lt;/authors&gt;&lt;/contributors&gt;&lt;titles&gt;&lt;title&gt;Monocyte count on admission is predictive of shunt-dependent hydrocephalus after aneurysmal subarachnoid hemorrhage&lt;/title&gt;&lt;secondary-title&gt;Frontiers in Surgery&lt;/secondary-title&gt;&lt;/titles&gt;&lt;periodical&gt;&lt;full-title&gt;Frontiers in Surgery&lt;/full-title&gt;&lt;/periodical&gt;&lt;volume&gt;9&lt;/volume&gt;&lt;dates&gt;&lt;year&gt;2022&lt;/year&gt;&lt;/dates&gt;&lt;urls&gt;&lt;/urls&gt;&lt;/record&gt;&lt;/Cite&gt;&lt;Cite&gt;&lt;Author&gt;Cuoco&lt;/Author&gt;&lt;Year&gt;2021&lt;/Year&gt;&lt;RecNum&gt;8&lt;/RecNum&gt;&lt;record&gt;&lt;rec-number&gt;8&lt;/rec-number&gt;&lt;foreign-keys&gt;&lt;key app="EN" db-id="rr0ve5twvwadv9eezf4x2wz3awv0sxessv5p" timestamp="1687792221"&gt;8&lt;/key&gt;&lt;/foreign-keys&gt;&lt;ref-type name="Journal Article"&gt;17&lt;/ref-type&gt;&lt;contributors&gt;&lt;authors&gt;&lt;author&gt;Cuoco, Joshua A&lt;/author&gt;&lt;author&gt;Guilliams, Evin L&lt;/author&gt;&lt;author&gt;Klein, Brendan J&lt;/author&gt;&lt;author&gt;Benko, Michael J&lt;/author&gt;&lt;author&gt;Darden, Jordan A&lt;/author&gt;&lt;author&gt;Olasunkanmi, Adeolu L&lt;/author&gt;&lt;author&gt;Witcher, Mark R&lt;/author&gt;&lt;author&gt;Rogers, Cara M&lt;/author&gt;&lt;author&gt;Marvin, Eric A&lt;/author&gt;&lt;author&gt;Patel, Biraj M&lt;/author&gt;&lt;/authors&gt;&lt;/contributors&gt;&lt;titles&gt;&lt;title&gt;Neutrophil count on admission predicts acute symptomatic hydrocephalus after aneurysmal subarachnoid hemorrhage&lt;/title&gt;&lt;secondary-title&gt;World neurosurgery&lt;/secondary-title&gt;&lt;/titles&gt;&lt;periodical&gt;&lt;full-title&gt;World neurosurgery&lt;/full-title&gt;&lt;/periodical&gt;&lt;pages&gt;e338-e344&lt;/pages&gt;&lt;volume&gt;156&lt;/volume&gt;&lt;dates&gt;&lt;year&gt;2021&lt;/year&gt;&lt;/dates&gt;&lt;isbn&gt;1878-8750&lt;/isbn&gt;&lt;urls&gt;&lt;/urls&gt;&lt;/record&gt;&lt;/Cite&gt;&lt;/EndNote&gt;</w:instrText>
      </w:r>
      <w:r w:rsidR="00932224">
        <w:rPr>
          <w:rFonts w:asciiTheme="majorBidi" w:hAnsiTheme="majorBidi" w:cstheme="majorBidi"/>
          <w:sz w:val="24"/>
          <w:szCs w:val="24"/>
        </w:rPr>
        <w:fldChar w:fldCharType="separate"/>
      </w:r>
      <w:r w:rsidR="009C0CB3">
        <w:rPr>
          <w:rFonts w:asciiTheme="majorBidi" w:hAnsiTheme="majorBidi" w:cstheme="majorBidi"/>
          <w:noProof/>
          <w:sz w:val="24"/>
          <w:szCs w:val="24"/>
        </w:rPr>
        <w:t>(7, 8)</w:t>
      </w:r>
      <w:r w:rsidR="00932224">
        <w:rPr>
          <w:rFonts w:asciiTheme="majorBidi" w:hAnsiTheme="majorBidi" w:cstheme="majorBidi"/>
          <w:sz w:val="24"/>
          <w:szCs w:val="24"/>
        </w:rPr>
        <w:fldChar w:fldCharType="end"/>
      </w:r>
      <w:r w:rsidR="005F4932" w:rsidRPr="00E171E9">
        <w:rPr>
          <w:rFonts w:asciiTheme="majorBidi" w:hAnsiTheme="majorBidi" w:cstheme="majorBidi"/>
          <w:sz w:val="24"/>
          <w:szCs w:val="24"/>
        </w:rPr>
        <w:t xml:space="preserve">. High neutrophil counts stimulate the </w:t>
      </w:r>
      <w:r w:rsidR="00D85CF1" w:rsidRPr="00D85CF1">
        <w:rPr>
          <w:rFonts w:asciiTheme="majorBidi" w:hAnsiTheme="majorBidi" w:cstheme="majorBidi"/>
          <w:sz w:val="24"/>
          <w:szCs w:val="24"/>
        </w:rPr>
        <w:t xml:space="preserve">neuro-inflammation </w:t>
      </w:r>
      <w:r w:rsidR="00D85CF1">
        <w:rPr>
          <w:rFonts w:asciiTheme="majorBidi" w:hAnsiTheme="majorBidi" w:cstheme="majorBidi"/>
          <w:sz w:val="24"/>
          <w:szCs w:val="24"/>
        </w:rPr>
        <w:t>p</w:t>
      </w:r>
      <w:r w:rsidR="00D85CF1" w:rsidRPr="00D85CF1">
        <w:rPr>
          <w:rFonts w:asciiTheme="majorBidi" w:hAnsiTheme="majorBidi" w:cstheme="majorBidi"/>
          <w:sz w:val="24"/>
          <w:szCs w:val="24"/>
        </w:rPr>
        <w:t>athway</w:t>
      </w:r>
      <w:r w:rsidR="005F4932" w:rsidRPr="00E171E9">
        <w:rPr>
          <w:rFonts w:asciiTheme="majorBidi" w:hAnsiTheme="majorBidi" w:cstheme="majorBidi"/>
          <w:sz w:val="24"/>
          <w:szCs w:val="24"/>
        </w:rPr>
        <w:t xml:space="preserve">, exacerbating edema and hematoma formation, increasing mass impact and intracranial pressure, and resulting in </w:t>
      </w:r>
      <w:r w:rsidR="00D85CF1" w:rsidRPr="00D85CF1">
        <w:rPr>
          <w:rFonts w:asciiTheme="majorBidi" w:hAnsiTheme="majorBidi" w:cstheme="majorBidi"/>
          <w:sz w:val="24"/>
          <w:szCs w:val="24"/>
        </w:rPr>
        <w:t>nervous system impairment</w:t>
      </w:r>
      <w:r w:rsidR="00932224">
        <w:rPr>
          <w:rFonts w:asciiTheme="majorBidi" w:hAnsiTheme="majorBidi" w:cstheme="majorBidi"/>
          <w:sz w:val="24"/>
          <w:szCs w:val="24"/>
        </w:rPr>
        <w:t xml:space="preserve"> </w:t>
      </w:r>
      <w:r w:rsidR="00932224">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&lt;EndNote&gt;&lt;Cite&gt;&lt;Author&gt;Zhao&lt;/Author&gt;&lt;Year&gt;2022&lt;/Year&gt;&lt;RecNum&gt;9&lt;/RecNum&gt;&lt;DisplayText&gt;(9)&lt;/DisplayText&gt;&lt;record&gt;&lt;rec-number&gt;9&lt;/rec-number&gt;&lt;foreign-keys&gt;&lt;key app="EN" db-id="rr0ve5twvwadv9eezf4x2wz3awv0sxessv5p" timestamp="1687792357"&gt;9&lt;/key&gt;&lt;/foreign-keys&gt;&lt;ref-type name="Journal Article"&gt;17&lt;/ref-type&gt;&lt;contributors&gt;&lt;authors&gt;&lt;author&gt;Zhao, Hui&lt;/author&gt;&lt;author&gt;Li, Yan&lt;/author&gt;&lt;author&gt;Zhang, Ying&lt;/author&gt;&lt;author&gt;He, Wen-Yan&lt;/author&gt;&lt;author&gt;Jin, Wei-Na&lt;/author&gt;&lt;/authors&gt;&lt;/contributors&gt;&lt;titles&gt;&lt;title&gt;Role of immune and inflammatory mechanisms in stroke: a review of current advances&lt;/title&gt;&lt;secondary-title&gt;Neuroimmunomodulation&lt;/secondary-title&gt;&lt;/titles&gt;&lt;periodical&gt;&lt;full-title&gt;Neuroimmunomodulation&lt;/full-title&gt;&lt;/periodical&gt;&lt;pages&gt;1-14&lt;/pages&gt;&lt;dates&gt;&lt;year&gt;2022&lt;/year&gt;&lt;/dates&gt;&lt;isbn&gt;1021-7401&lt;/isbn&gt;&lt;urls&gt;&lt;/urls&gt;&lt;/record&gt;&lt;/Cite&gt;&lt;/EndNote&gt;</w:instrText>
      </w:r>
      <w:r w:rsidR="00932224">
        <w:rPr>
          <w:rFonts w:asciiTheme="majorBidi" w:hAnsiTheme="majorBidi" w:cstheme="majorBidi"/>
          <w:sz w:val="24"/>
          <w:szCs w:val="24"/>
        </w:rPr>
        <w:fldChar w:fldCharType="separate"/>
      </w:r>
      <w:r w:rsidR="009C0CB3">
        <w:rPr>
          <w:rFonts w:asciiTheme="majorBidi" w:hAnsiTheme="majorBidi" w:cstheme="majorBidi"/>
          <w:noProof/>
          <w:sz w:val="24"/>
          <w:szCs w:val="24"/>
        </w:rPr>
        <w:t>(9)</w:t>
      </w:r>
      <w:r w:rsidR="00932224">
        <w:rPr>
          <w:rFonts w:asciiTheme="majorBidi" w:hAnsiTheme="majorBidi" w:cstheme="majorBidi"/>
          <w:sz w:val="24"/>
          <w:szCs w:val="24"/>
        </w:rPr>
        <w:fldChar w:fldCharType="end"/>
      </w:r>
      <w:r w:rsidR="005F4932" w:rsidRPr="00E171E9">
        <w:rPr>
          <w:rFonts w:asciiTheme="majorBidi" w:hAnsiTheme="majorBidi" w:cstheme="majorBidi"/>
          <w:sz w:val="24"/>
          <w:szCs w:val="24"/>
        </w:rPr>
        <w:t xml:space="preserve">. </w:t>
      </w:r>
      <w:r w:rsidR="00B438DC" w:rsidRPr="00B438DC">
        <w:rPr>
          <w:rFonts w:asciiTheme="majorBidi" w:hAnsiTheme="majorBidi" w:cstheme="majorBidi"/>
          <w:sz w:val="24"/>
          <w:szCs w:val="24"/>
        </w:rPr>
        <w:t>Lymphocytes, as an adaptive immune response, a</w:t>
      </w:r>
      <w:r w:rsidR="00B438DC">
        <w:rPr>
          <w:rFonts w:asciiTheme="majorBidi" w:hAnsiTheme="majorBidi" w:cstheme="majorBidi"/>
          <w:sz w:val="24"/>
          <w:szCs w:val="24"/>
        </w:rPr>
        <w:t>re necessary for bodily defense</w:t>
      </w:r>
      <w:r w:rsidR="005F4932" w:rsidRPr="00E171E9">
        <w:rPr>
          <w:rFonts w:asciiTheme="majorBidi" w:hAnsiTheme="majorBidi" w:cstheme="majorBidi"/>
          <w:sz w:val="24"/>
          <w:szCs w:val="24"/>
        </w:rPr>
        <w:t xml:space="preserve"> and low lymphocyte counts imply a worse prognosis in hydrocephalus patients with increased incidence of infections</w:t>
      </w:r>
      <w:r w:rsidR="00932224">
        <w:rPr>
          <w:rFonts w:asciiTheme="majorBidi" w:hAnsiTheme="majorBidi" w:cstheme="majorBidi"/>
          <w:sz w:val="24"/>
          <w:szCs w:val="24"/>
        </w:rPr>
        <w:t xml:space="preserve"> </w:t>
      </w:r>
      <w:r w:rsidR="00932224">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&lt;EndNote&gt;&lt;Cite&gt;&lt;Author&gt;Liu&lt;/Author&gt;&lt;Year&gt;2014&lt;/Year&gt;&lt;RecNum&gt;10&lt;/RecNum&gt;&lt;DisplayText&gt;(10)&lt;/DisplayText&gt;&lt;record&gt;&lt;rec-number&gt;10&lt;/rec-number&gt;&lt;foreign-keys&gt;&lt;key app="EN" db-id="rr0ve5twvwadv9eezf4x2wz3awv0sxessv5p" timestamp="1687792879"&gt;10&lt;/key&gt;&lt;/foreign-keys&gt;&lt;ref-type name="Journal Article"&gt;17&lt;/ref-type&gt;&lt;contributors&gt;&lt;authors&gt;&lt;author&gt;Liu, Li&lt;/author&gt;&lt;author&gt;Zhang, Renfang&lt;/author&gt;&lt;author&gt;Tang, Yang&lt;/author&gt;&lt;author&gt;Lu, Hongzhou&lt;/author&gt;&lt;/authors&gt;&lt;/contributors&gt;&lt;titles&gt;&lt;title&gt;The use of ventriculoperitoneal shunts for uncontrollable intracranial hypertension in patients with HIV-associated cryptococcal meningitis with or without hydrocephalus&lt;/title&gt;&lt;secondary-title&gt;Bioscience trends&lt;/secondary-title&gt;&lt;/titles&gt;&lt;periodical&gt;&lt;full-title&gt;Bioscience trends&lt;/full-title&gt;&lt;/periodical&gt;&lt;pages&gt;327-332&lt;/pages&gt;&lt;volume&gt;8&lt;/volume&gt;&lt;number&gt;6&lt;/number&gt;&lt;dates&gt;&lt;year&gt;2014&lt;/year&gt;&lt;/dates&gt;&lt;isbn&gt;1881-7815&lt;/isbn&gt;&lt;urls&gt;&lt;/urls&gt;&lt;/record&gt;&lt;/Cite&gt;&lt;/EndNote&gt;</w:instrText>
      </w:r>
      <w:r w:rsidR="00932224">
        <w:rPr>
          <w:rFonts w:asciiTheme="majorBidi" w:hAnsiTheme="majorBidi" w:cstheme="majorBidi"/>
          <w:sz w:val="24"/>
          <w:szCs w:val="24"/>
        </w:rPr>
        <w:fldChar w:fldCharType="separate"/>
      </w:r>
      <w:r w:rsidR="009C0CB3">
        <w:rPr>
          <w:rFonts w:asciiTheme="majorBidi" w:hAnsiTheme="majorBidi" w:cstheme="majorBidi"/>
          <w:noProof/>
          <w:sz w:val="24"/>
          <w:szCs w:val="24"/>
        </w:rPr>
        <w:t>(10)</w:t>
      </w:r>
      <w:r w:rsidR="00932224">
        <w:rPr>
          <w:rFonts w:asciiTheme="majorBidi" w:hAnsiTheme="majorBidi" w:cstheme="majorBidi"/>
          <w:sz w:val="24"/>
          <w:szCs w:val="24"/>
        </w:rPr>
        <w:fldChar w:fldCharType="end"/>
      </w:r>
      <w:r w:rsidR="005F4932" w:rsidRPr="00E171E9">
        <w:rPr>
          <w:rFonts w:asciiTheme="majorBidi" w:hAnsiTheme="majorBidi" w:cstheme="majorBidi"/>
          <w:sz w:val="24"/>
          <w:szCs w:val="24"/>
        </w:rPr>
        <w:t xml:space="preserve">. </w:t>
      </w:r>
    </w:p>
    <w:p w14:paraId="624BBA6E" w14:textId="77777777" w:rsidR="00E171E9" w:rsidRPr="00E171E9" w:rsidRDefault="00A45B4C" w:rsidP="009C0CB3">
      <w:pPr>
        <w:spacing w:line="360" w:lineRule="auto"/>
        <w:jc w:val="both"/>
        <w:rPr>
          <w:rFonts w:asciiTheme="majorBidi" w:hAnsiTheme="majorBidi" w:cstheme="majorBidi"/>
          <w:sz w:val="24"/>
          <w:szCs w:val="24"/>
        </w:rPr>
      </w:pPr>
      <w:r w:rsidRPr="00E171E9">
        <w:rPr>
          <w:rFonts w:asciiTheme="majorBidi" w:hAnsiTheme="majorBidi" w:cstheme="majorBidi"/>
          <w:sz w:val="24"/>
          <w:szCs w:val="24"/>
        </w:rPr>
        <w:t>The neutrophil-to-lymphocyte ratio (</w:t>
      </w:r>
      <w:r w:rsidR="00B438DC" w:rsidRPr="00B438DC">
        <w:rPr>
          <w:rFonts w:asciiTheme="majorBidi" w:hAnsiTheme="majorBidi" w:cstheme="majorBidi"/>
          <w:sz w:val="24"/>
          <w:szCs w:val="24"/>
        </w:rPr>
        <w:t>NLR</w:t>
      </w:r>
      <w:r w:rsidR="00B438DC">
        <w:rPr>
          <w:rFonts w:asciiTheme="majorBidi" w:hAnsiTheme="majorBidi" w:cstheme="majorBidi"/>
          <w:sz w:val="24"/>
          <w:szCs w:val="24"/>
        </w:rPr>
        <w:t>)</w:t>
      </w:r>
      <w:r w:rsidR="00B438DC" w:rsidRPr="00B438DC">
        <w:rPr>
          <w:rFonts w:asciiTheme="majorBidi" w:hAnsiTheme="majorBidi" w:cstheme="majorBidi"/>
          <w:sz w:val="24"/>
          <w:szCs w:val="24"/>
        </w:rPr>
        <w:t xml:space="preserve"> has been suggested as a valid compound indicator </w:t>
      </w:r>
      <w:r w:rsidRPr="00E171E9">
        <w:rPr>
          <w:rFonts w:asciiTheme="majorBidi" w:hAnsiTheme="majorBidi" w:cstheme="majorBidi"/>
          <w:sz w:val="24"/>
          <w:szCs w:val="24"/>
        </w:rPr>
        <w:t xml:space="preserve">and dynamic </w:t>
      </w:r>
      <w:r w:rsidR="00B438DC">
        <w:rPr>
          <w:rFonts w:asciiTheme="majorBidi" w:hAnsiTheme="majorBidi" w:cstheme="majorBidi"/>
          <w:sz w:val="24"/>
          <w:szCs w:val="24"/>
        </w:rPr>
        <w:t>scale</w:t>
      </w:r>
      <w:r w:rsidRPr="00E171E9">
        <w:rPr>
          <w:rFonts w:asciiTheme="majorBidi" w:hAnsiTheme="majorBidi" w:cstheme="majorBidi"/>
          <w:sz w:val="24"/>
          <w:szCs w:val="24"/>
        </w:rPr>
        <w:t xml:space="preserve"> of </w:t>
      </w:r>
      <w:r w:rsidR="00F31F98">
        <w:rPr>
          <w:rFonts w:asciiTheme="majorBidi" w:hAnsiTheme="majorBidi" w:cstheme="majorBidi"/>
          <w:sz w:val="24"/>
          <w:szCs w:val="24"/>
        </w:rPr>
        <w:t xml:space="preserve">the </w:t>
      </w:r>
      <w:r w:rsidRPr="00E171E9">
        <w:rPr>
          <w:rFonts w:asciiTheme="majorBidi" w:hAnsiTheme="majorBidi" w:cstheme="majorBidi"/>
          <w:sz w:val="24"/>
          <w:szCs w:val="24"/>
        </w:rPr>
        <w:t xml:space="preserve">inflammatory process </w:t>
      </w:r>
      <w:r w:rsidR="00B438DC" w:rsidRPr="00B438DC">
        <w:rPr>
          <w:rFonts w:asciiTheme="majorBidi" w:hAnsiTheme="majorBidi" w:cstheme="majorBidi"/>
          <w:sz w:val="24"/>
          <w:szCs w:val="24"/>
        </w:rPr>
        <w:t>by calculating total neutrophil and lymphocyte numbers</w:t>
      </w:r>
      <w:r w:rsidR="00B421F8">
        <w:rPr>
          <w:rFonts w:asciiTheme="majorBidi" w:hAnsiTheme="majorBidi" w:cstheme="majorBidi"/>
          <w:sz w:val="24"/>
          <w:szCs w:val="24"/>
        </w:rPr>
        <w:t xml:space="preserve"> </w:t>
      </w:r>
      <w:r w:rsidR="00B421F8">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&lt;EndNote&gt;&lt;Cite&gt;&lt;Author&gt;Piri Cinar&lt;/Author&gt;&lt;Year&gt;2021&lt;/Year&gt;&lt;RecNum&gt;11&lt;/RecNum&gt;&lt;DisplayText&gt;(11)&lt;/DisplayText&gt;&lt;record&gt;&lt;rec-number&gt;11&lt;/rec-number&gt;&lt;foreign-keys&gt;&lt;key app="EN" db-id="rr0ve5twvwadv9eezf4x2wz3awv0sxessv5p" timestamp="1687793137"&gt;11&lt;/key&gt;&lt;/foreign-keys&gt;&lt;ref-type name="Journal Article"&gt;17&lt;/ref-type&gt;&lt;contributors&gt;&lt;authors&gt;&lt;author&gt;Piri Cinar, Bilge&lt;/author&gt;&lt;author&gt;Kunt, Refik&lt;/author&gt;&lt;author&gt;Yuksel, Burcu&lt;/author&gt;&lt;author&gt;Gulluoglu, Halil&lt;/author&gt;&lt;author&gt;Sayilir, Idris&lt;/author&gt;&lt;author&gt;Celiker Uslu, Sibel&lt;/author&gt;&lt;author&gt;Ozaydin Goksu, Eylem&lt;/author&gt;&lt;author&gt;Bülbül, Nazlı Gamze&lt;/author&gt;&lt;author&gt;Yildiz, Baykal&lt;/author&gt;&lt;author&gt;Oz, Didem&lt;/author&gt;&lt;/authors&gt;&lt;/contributors&gt;&lt;titles&gt;&lt;title&gt;Assessment of the relation between the neutrophil to lymphocyte ratio and severity of ischemic stroke in a large cohort&lt;/title&gt;&lt;secondary-title&gt;International Journal of Clinical Practice&lt;/secondary-title&gt;&lt;/titles&gt;&lt;periodical&gt;&lt;full-title&gt;International Journal of Clinical Practice&lt;/full-title&gt;&lt;/periodical&gt;&lt;pages&gt;e13955&lt;/pages&gt;&lt;volume&gt;75&lt;/volume&gt;&lt;number&gt;4&lt;/number&gt;&lt;dates&gt;&lt;year&gt;2021&lt;/year&gt;&lt;/dates&gt;&lt;isbn&gt;1368-5031&lt;/isbn&gt;&lt;urls&gt;&lt;/urls&gt;&lt;/record&gt;&lt;/Cite&gt;&lt;/EndNote&gt;</w:instrText>
      </w:r>
      <w:r w:rsidR="00B421F8">
        <w:rPr>
          <w:rFonts w:asciiTheme="majorBidi" w:hAnsiTheme="majorBidi" w:cstheme="majorBidi"/>
          <w:sz w:val="24"/>
          <w:szCs w:val="24"/>
        </w:rPr>
        <w:fldChar w:fldCharType="separate"/>
      </w:r>
      <w:r w:rsidR="009C0CB3">
        <w:rPr>
          <w:rFonts w:asciiTheme="majorBidi" w:hAnsiTheme="majorBidi" w:cstheme="majorBidi"/>
          <w:noProof/>
          <w:sz w:val="24"/>
          <w:szCs w:val="24"/>
        </w:rPr>
        <w:t>(11)</w:t>
      </w:r>
      <w:r w:rsidR="00B421F8">
        <w:rPr>
          <w:rFonts w:asciiTheme="majorBidi" w:hAnsiTheme="majorBidi" w:cstheme="majorBidi"/>
          <w:sz w:val="24"/>
          <w:szCs w:val="24"/>
        </w:rPr>
        <w:fldChar w:fldCharType="end"/>
      </w:r>
      <w:r w:rsidRPr="00E171E9">
        <w:rPr>
          <w:rFonts w:asciiTheme="majorBidi" w:hAnsiTheme="majorBidi" w:cstheme="majorBidi"/>
          <w:sz w:val="24"/>
          <w:szCs w:val="24"/>
        </w:rPr>
        <w:t>. The NLR represents the immune response and integrates data fro</w:t>
      </w:r>
      <w:r w:rsidR="00B421F8">
        <w:rPr>
          <w:rFonts w:asciiTheme="majorBidi" w:hAnsiTheme="majorBidi" w:cstheme="majorBidi"/>
          <w:sz w:val="24"/>
          <w:szCs w:val="24"/>
        </w:rPr>
        <w:t>m both innate and adaptive.</w:t>
      </w:r>
      <w:r w:rsidRPr="00E171E9">
        <w:rPr>
          <w:rFonts w:asciiTheme="majorBidi" w:hAnsiTheme="majorBidi" w:cstheme="majorBidi"/>
          <w:sz w:val="24"/>
          <w:szCs w:val="24"/>
        </w:rPr>
        <w:t xml:space="preserve"> In addition, since counts of neutrophil</w:t>
      </w:r>
      <w:r w:rsidR="00F31F98">
        <w:rPr>
          <w:rFonts w:asciiTheme="majorBidi" w:hAnsiTheme="majorBidi" w:cstheme="majorBidi"/>
          <w:sz w:val="24"/>
          <w:szCs w:val="24"/>
        </w:rPr>
        <w:t>s</w:t>
      </w:r>
      <w:r w:rsidRPr="00E171E9">
        <w:rPr>
          <w:rFonts w:asciiTheme="majorBidi" w:hAnsiTheme="majorBidi" w:cstheme="majorBidi"/>
          <w:sz w:val="24"/>
          <w:szCs w:val="24"/>
        </w:rPr>
        <w:t xml:space="preserve"> and lymphocytes are frequently evaluated during laboratory tests, the NLR is useful in clinical settin</w:t>
      </w:r>
      <w:r w:rsidR="00F2356B">
        <w:rPr>
          <w:rFonts w:asciiTheme="majorBidi" w:hAnsiTheme="majorBidi" w:cstheme="majorBidi"/>
          <w:sz w:val="24"/>
          <w:szCs w:val="24"/>
        </w:rPr>
        <w:t>gs. NLR has been widely studied</w:t>
      </w:r>
      <w:r w:rsidRPr="00E171E9">
        <w:rPr>
          <w:rFonts w:asciiTheme="majorBidi" w:hAnsiTheme="majorBidi" w:cstheme="majorBidi"/>
          <w:sz w:val="24"/>
          <w:szCs w:val="24"/>
        </w:rPr>
        <w:t xml:space="preserve"> and found to be linked with consequence</w:t>
      </w:r>
      <w:r w:rsidR="00F31F98">
        <w:rPr>
          <w:rFonts w:asciiTheme="majorBidi" w:hAnsiTheme="majorBidi" w:cstheme="majorBidi"/>
          <w:sz w:val="24"/>
          <w:szCs w:val="24"/>
        </w:rPr>
        <w:t>s</w:t>
      </w:r>
      <w:r w:rsidRPr="00E171E9">
        <w:rPr>
          <w:rFonts w:asciiTheme="majorBidi" w:hAnsiTheme="majorBidi" w:cstheme="majorBidi"/>
          <w:sz w:val="24"/>
          <w:szCs w:val="24"/>
        </w:rPr>
        <w:t>, with high NLR having prognostic value for numerous disorders such as cardiovascular disease</w:t>
      </w:r>
      <w:r w:rsidR="007567A7">
        <w:rPr>
          <w:rFonts w:asciiTheme="majorBidi" w:hAnsiTheme="majorBidi" w:cstheme="majorBidi"/>
          <w:sz w:val="24"/>
          <w:szCs w:val="24"/>
        </w:rPr>
        <w:t xml:space="preserve"> </w:t>
      </w:r>
      <w:r w:rsidR="007567A7">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&lt;EndNote&gt;&lt;Cite&gt;&lt;Author&gt;Han&lt;/Author&gt;&lt;Year&gt;2022&lt;/Year&gt;&lt;RecNum&gt;14&lt;/RecNum&gt;&lt;DisplayText&gt;(12)&lt;/DisplayText&gt;&lt;record&gt;&lt;rec-number&gt;14&lt;/rec-number&gt;&lt;foreign-keys&gt;&lt;key app="EN" db-id="rr0ve5twvwadv9eezf4x2wz3awv0sxessv5p" timestamp="1687794923"&gt;14&lt;/key&gt;&lt;/foreign-keys&gt;&lt;ref-type name="Journal Article"&gt;17&lt;/ref-type&gt;&lt;contributors&gt;&lt;authors&gt;&lt;author&gt;Han, Kangning&lt;/author&gt;&lt;author&gt;Shi, Dongmei&lt;/author&gt;&lt;author&gt;Yang, Lixia&lt;/author&gt;&lt;author&gt;Wang, Zhijian&lt;/author&gt;&lt;author&gt;Li, Yueping&lt;/author&gt;&lt;author&gt;Gao, Fei&lt;/author&gt;&lt;author&gt;Liu, Yuyang&lt;/author&gt;&lt;author&gt;Ma, Xiaoteng&lt;/author&gt;&lt;author&gt;Zhou, Yujie&lt;/author&gt;&lt;/authors&gt;&lt;/contributors&gt;&lt;titles&gt;&lt;title&gt;Prognostic value of systemic inflammatory response index in patients with acute coronary syndrome undergoing percutaneous coronary intervention&lt;/title&gt;&lt;secondary-title&gt;Annals of Medicine&lt;/secondary-title&gt;&lt;/titles&gt;&lt;periodical&gt;&lt;full-title&gt;Annals of Medicine&lt;/full-title&gt;&lt;/periodical&gt;&lt;pages&gt;1667-1677&lt;/pages&gt;&lt;volume&gt;54&lt;/volume&gt;&lt;number&gt;1&lt;/number&gt;&lt;dates&gt;&lt;year&gt;2022&lt;/year&gt;&lt;/dates&gt;&lt;isbn&gt;0785-3890&lt;/isbn&gt;&lt;urls&gt;&lt;/urls&gt;&lt;/record&gt;&lt;/Cite&gt;&lt;/EndNote&gt;</w:instrText>
      </w:r>
      <w:r w:rsidR="007567A7">
        <w:rPr>
          <w:rFonts w:asciiTheme="majorBidi" w:hAnsiTheme="majorBidi" w:cstheme="majorBidi"/>
          <w:sz w:val="24"/>
          <w:szCs w:val="24"/>
        </w:rPr>
        <w:fldChar w:fldCharType="separate"/>
      </w:r>
      <w:r w:rsidR="009C0CB3">
        <w:rPr>
          <w:rFonts w:asciiTheme="majorBidi" w:hAnsiTheme="majorBidi" w:cstheme="majorBidi"/>
          <w:noProof/>
          <w:sz w:val="24"/>
          <w:szCs w:val="24"/>
        </w:rPr>
        <w:t>(12)</w:t>
      </w:r>
      <w:r w:rsidR="007567A7">
        <w:rPr>
          <w:rFonts w:asciiTheme="majorBidi" w:hAnsiTheme="majorBidi" w:cstheme="majorBidi"/>
          <w:sz w:val="24"/>
          <w:szCs w:val="24"/>
        </w:rPr>
        <w:fldChar w:fldCharType="end"/>
      </w:r>
      <w:r w:rsidRPr="00E171E9">
        <w:rPr>
          <w:rFonts w:asciiTheme="majorBidi" w:hAnsiTheme="majorBidi" w:cstheme="majorBidi"/>
          <w:sz w:val="24"/>
          <w:szCs w:val="24"/>
        </w:rPr>
        <w:t>, ischemic stroke</w:t>
      </w:r>
      <w:r w:rsidR="007567A7">
        <w:rPr>
          <w:rFonts w:asciiTheme="majorBidi" w:hAnsiTheme="majorBidi" w:cstheme="majorBidi"/>
          <w:sz w:val="24"/>
          <w:szCs w:val="24"/>
        </w:rPr>
        <w:t xml:space="preserve"> </w:t>
      </w:r>
      <w:r w:rsidR="007567A7">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&lt;EndNote&gt;&lt;Cite&gt;&lt;Author&gt;Hu&lt;/Author&gt;&lt;Year&gt;2023&lt;/Year&gt;&lt;RecNum&gt;13&lt;/RecNum&gt;&lt;DisplayText&gt;(13)&lt;/DisplayText&gt;&lt;record&gt;&lt;rec-number&gt;13&lt;/rec-number&gt;&lt;foreign-keys&gt;&lt;key app="EN" db-id="rr0ve5twvwadv9eezf4x2wz3awv0sxessv5p" timestamp="1687794847"&gt;13&lt;/key&gt;&lt;/foreign-keys&gt;&lt;ref-type name="Journal Article"&gt;17&lt;/ref-type&gt;&lt;contributors&gt;&lt;authors&gt;&lt;author&gt;Hu, Xuyang&lt;/author&gt;&lt;author&gt;Liang, Jiaru&lt;/author&gt;&lt;author&gt;Hao, Wenjian&lt;/author&gt;&lt;author&gt;Zhou, Jiaqi&lt;/author&gt;&lt;author&gt;Gao, Yuling&lt;/author&gt;&lt;author&gt;Gong, Xiaoyang&lt;/author&gt;&lt;author&gt;Liu, Yong&lt;/author&gt;&lt;/authors&gt;&lt;/contributors&gt;&lt;titles&gt;&lt;title&gt;Prognostic value of inflammatory markers for in-hospital mortality in intensive care patients with acute ischemic stroke: a retrospective observational study based on MIMIC-IV&lt;/title&gt;&lt;secondary-title&gt;Frontiers in Neurology&lt;/secondary-title&gt;&lt;/titles&gt;&lt;periodical&gt;&lt;full-title&gt;Frontiers in Neurology&lt;/full-title&gt;&lt;/periodical&gt;&lt;pages&gt;1174711&lt;/pages&gt;&lt;volume&gt;14&lt;/volume&gt;&lt;dates&gt;&lt;year&gt;2023&lt;/year&gt;&lt;/dates&gt;&lt;isbn&gt;1664-2295&lt;/isbn&gt;&lt;urls&gt;&lt;/urls&gt;&lt;/record&gt;&lt;/Cite&gt;&lt;/EndNote&gt;</w:instrText>
      </w:r>
      <w:r w:rsidR="007567A7">
        <w:rPr>
          <w:rFonts w:asciiTheme="majorBidi" w:hAnsiTheme="majorBidi" w:cstheme="majorBidi"/>
          <w:sz w:val="24"/>
          <w:szCs w:val="24"/>
        </w:rPr>
        <w:fldChar w:fldCharType="separate"/>
      </w:r>
      <w:r w:rsidR="009C0CB3">
        <w:rPr>
          <w:rFonts w:asciiTheme="majorBidi" w:hAnsiTheme="majorBidi" w:cstheme="majorBidi"/>
          <w:noProof/>
          <w:sz w:val="24"/>
          <w:szCs w:val="24"/>
        </w:rPr>
        <w:t>(13)</w:t>
      </w:r>
      <w:r w:rsidR="007567A7">
        <w:rPr>
          <w:rFonts w:asciiTheme="majorBidi" w:hAnsiTheme="majorBidi" w:cstheme="majorBidi"/>
          <w:sz w:val="24"/>
          <w:szCs w:val="24"/>
        </w:rPr>
        <w:fldChar w:fldCharType="end"/>
      </w:r>
      <w:r w:rsidRPr="00E171E9">
        <w:rPr>
          <w:rFonts w:asciiTheme="majorBidi" w:hAnsiTheme="majorBidi" w:cstheme="majorBidi"/>
          <w:sz w:val="24"/>
          <w:szCs w:val="24"/>
        </w:rPr>
        <w:t>, cerebral hemorrhage</w:t>
      </w:r>
      <w:r w:rsidR="007567A7">
        <w:rPr>
          <w:rFonts w:asciiTheme="majorBidi" w:hAnsiTheme="majorBidi" w:cstheme="majorBidi"/>
          <w:sz w:val="24"/>
          <w:szCs w:val="24"/>
        </w:rPr>
        <w:t xml:space="preserve"> </w:t>
      </w:r>
      <w:r w:rsidR="007567A7">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&lt;EndNote&gt;&lt;Cite&gt;&lt;Author&gt;Tao&lt;/Author&gt;&lt;Year&gt;2017&lt;/Year&gt;&lt;RecNum&gt;12&lt;/RecNum&gt;&lt;DisplayText&gt;(14)&lt;/DisplayText&gt;&lt;record&gt;&lt;rec-number&gt;12&lt;/rec-number&gt;&lt;foreign-keys&gt;&lt;key app="EN" db-id="rr0ve5twvwadv9eezf4x2wz3awv0sxessv5p" timestamp="1687794801"&gt;12&lt;/key&gt;&lt;/foreign-keys&gt;&lt;ref-type name="Journal Article"&gt;17&lt;/ref-type&gt;&lt;contributors&gt;&lt;authors&gt;&lt;author&gt;Tao, Chuanyuan&lt;/author&gt;&lt;author&gt;Hu, Xin&lt;/author&gt;&lt;author&gt;Wang, Jiajing&lt;/author&gt;&lt;author&gt;Ma, Junpeng&lt;/author&gt;&lt;author&gt;Li, Hao&lt;/author&gt;&lt;author&gt;You, Chao&lt;/author&gt;&lt;/authors&gt;&lt;/contributors&gt;&lt;titles&gt;&lt;title&gt;Admission neutrophil count and neutrophil to lymphocyte ratio predict 90-day outcome in intracerebral hemorrhage&lt;/title&gt;&lt;secondary-title&gt;Biomarkers in medicine&lt;/secondary-title&gt;&lt;/titles&gt;&lt;periodical&gt;&lt;full-title&gt;Biomarkers in medicine&lt;/full-title&gt;&lt;/periodical&gt;&lt;pages&gt;33-42&lt;/pages&gt;&lt;volume&gt;11&lt;/volume&gt;&lt;number&gt;1&lt;/number&gt;&lt;dates&gt;&lt;year&gt;2017&lt;/year&gt;&lt;/dates&gt;&lt;isbn&gt;1752-0363&lt;/isbn&gt;&lt;urls&gt;&lt;/urls&gt;&lt;/record&gt;&lt;/Cite&gt;&lt;/EndNote&gt;</w:instrText>
      </w:r>
      <w:r w:rsidR="007567A7">
        <w:rPr>
          <w:rFonts w:asciiTheme="majorBidi" w:hAnsiTheme="majorBidi" w:cstheme="majorBidi"/>
          <w:sz w:val="24"/>
          <w:szCs w:val="24"/>
        </w:rPr>
        <w:fldChar w:fldCharType="separate"/>
      </w:r>
      <w:r w:rsidR="009C0CB3">
        <w:rPr>
          <w:rFonts w:asciiTheme="majorBidi" w:hAnsiTheme="majorBidi" w:cstheme="majorBidi"/>
          <w:noProof/>
          <w:sz w:val="24"/>
          <w:szCs w:val="24"/>
        </w:rPr>
        <w:t>(14)</w:t>
      </w:r>
      <w:r w:rsidR="007567A7">
        <w:rPr>
          <w:rFonts w:asciiTheme="majorBidi" w:hAnsiTheme="majorBidi" w:cstheme="majorBidi"/>
          <w:sz w:val="24"/>
          <w:szCs w:val="24"/>
        </w:rPr>
        <w:fldChar w:fldCharType="end"/>
      </w:r>
      <w:r w:rsidR="007567A7">
        <w:rPr>
          <w:rFonts w:asciiTheme="majorBidi" w:hAnsiTheme="majorBidi" w:cstheme="majorBidi"/>
          <w:sz w:val="24"/>
          <w:szCs w:val="24"/>
        </w:rPr>
        <w:t xml:space="preserve">, and infectious diseases </w:t>
      </w:r>
      <w:r w:rsidR="007567A7">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&lt;EndNote&gt;&lt;Cite&gt;&lt;Author&gt;Li&lt;/Author&gt;&lt;Year&gt;2020&lt;/Year&gt;&lt;RecNum&gt;15&lt;/RecNum&gt;&lt;DisplayText&gt;(15)&lt;/DisplayText&gt;&lt;record&gt;&lt;rec-number&gt;15&lt;/rec-number&gt;&lt;foreign-keys&gt;&lt;key app="EN" db-id="rr0ve5twvwadv9eezf4x2wz3awv0sxessv5p" timestamp="1687795002"&gt;15&lt;/key&gt;&lt;/foreign-keys&gt;&lt;ref-type name="Journal Article"&gt;17&lt;/ref-type&gt;&lt;contributors&gt;&lt;authors&gt;&lt;author&gt;Li, Tiewei&lt;/author&gt;&lt;author&gt;Dong, Geng&lt;/author&gt;&lt;author&gt;Zhang, Min&lt;/author&gt;&lt;author&gt;Xu, Zhe&lt;/author&gt;&lt;author&gt;Hu, Yidi&lt;/author&gt;&lt;author&gt;Xie, Bo&lt;/author&gt;&lt;author&gt;Wang, Yuewu&lt;/author&gt;&lt;author&gt;Xu, Bangli&lt;/author&gt;&lt;/authors&gt;&lt;/contributors&gt;&lt;titles&gt;&lt;title&gt;Association of neutrophil–lymphocyte ratio and the presence of neonatal sepsis&lt;/title&gt;&lt;secondary-title&gt;Journal of Immunology Research&lt;/secondary-title&gt;&lt;/titles&gt;&lt;periodical&gt;&lt;full-title&gt;Journal of Immunology Research&lt;/full-title&gt;&lt;/periodical&gt;&lt;volume&gt;2020&lt;/volume&gt;&lt;dates&gt;&lt;year&gt;2020&lt;/year&gt;&lt;/dates&gt;&lt;isbn&gt;2314-8861&lt;/isbn&gt;&lt;urls&gt;&lt;/urls&gt;&lt;/record&gt;&lt;/Cite&gt;&lt;/EndNote&gt;</w:instrText>
      </w:r>
      <w:r w:rsidR="007567A7">
        <w:rPr>
          <w:rFonts w:asciiTheme="majorBidi" w:hAnsiTheme="majorBidi" w:cstheme="majorBidi"/>
          <w:sz w:val="24"/>
          <w:szCs w:val="24"/>
        </w:rPr>
        <w:fldChar w:fldCharType="separate"/>
      </w:r>
      <w:r w:rsidR="009C0CB3">
        <w:rPr>
          <w:rFonts w:asciiTheme="majorBidi" w:hAnsiTheme="majorBidi" w:cstheme="majorBidi"/>
          <w:noProof/>
          <w:sz w:val="24"/>
          <w:szCs w:val="24"/>
        </w:rPr>
        <w:t>(15)</w:t>
      </w:r>
      <w:r w:rsidR="007567A7">
        <w:rPr>
          <w:rFonts w:asciiTheme="majorBidi" w:hAnsiTheme="majorBidi" w:cstheme="majorBidi"/>
          <w:sz w:val="24"/>
          <w:szCs w:val="24"/>
        </w:rPr>
        <w:fldChar w:fldCharType="end"/>
      </w:r>
      <w:r w:rsidRPr="00E171E9">
        <w:rPr>
          <w:rFonts w:asciiTheme="majorBidi" w:hAnsiTheme="majorBidi" w:cstheme="majorBidi"/>
          <w:sz w:val="24"/>
          <w:szCs w:val="24"/>
        </w:rPr>
        <w:t>. Furthermore, greater NLR is linked to a wors</w:t>
      </w:r>
      <w:r w:rsidR="007567A7">
        <w:rPr>
          <w:rFonts w:asciiTheme="majorBidi" w:hAnsiTheme="majorBidi" w:cstheme="majorBidi"/>
          <w:sz w:val="24"/>
          <w:szCs w:val="24"/>
        </w:rPr>
        <w:t xml:space="preserve">e prognosis in cancer patients </w:t>
      </w:r>
      <w:r w:rsidR="007567A7">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&lt;EndNote&gt;&lt;Cite&gt;&lt;Author&gt;Van Berckelaer&lt;/Author&gt;&lt;Year&gt;2020&lt;/Year&gt;&lt;RecNum&gt;16&lt;/RecNum&gt;&lt;DisplayText&gt;(16)&lt;/DisplayText&gt;&lt;record&gt;&lt;rec-number&gt;16&lt;/rec-number&gt;&lt;foreign-keys&gt;&lt;key app="EN" db-id="rr0ve5twvwadv9eezf4x2wz3awv0sxessv5p" timestamp="1687795054"&gt;16&lt;/key&gt;&lt;/foreign-keys&gt;&lt;ref-type name="Journal Article"&gt;17&lt;/ref-type&gt;&lt;contributors&gt;&lt;authors&gt;&lt;author&gt;Van Berckelaer, C&lt;/author&gt;&lt;author&gt;Van Geyt, M&lt;/author&gt;&lt;author&gt;Linders, S&lt;/author&gt;&lt;author&gt;Rypens, C&lt;/author&gt;&lt;author&gt;Trinh, XB&lt;/author&gt;&lt;author&gt;Tjalma, WAA&lt;/author&gt;&lt;author&gt;Van Laere, S&lt;/author&gt;&lt;author&gt;Colpaert, C&lt;/author&gt;&lt;author&gt;Dirix, L&lt;/author&gt;&lt;author&gt;Van Dam, PA&lt;/author&gt;&lt;/authors&gt;&lt;/contributors&gt;&lt;titles&gt;&lt;title&gt;A high neutrophil-lymphocyte ratio and platelet-lymphocyte ratio are associated with a worse outcome in inflammatory breast cancer&lt;/title&gt;&lt;secondary-title&gt;The Breast&lt;/secondary-title&gt;&lt;/titles&gt;&lt;periodical&gt;&lt;full-title&gt;The Breast&lt;/full-title&gt;&lt;/periodical&gt;&lt;pages&gt;212-220&lt;/pages&gt;&lt;volume&gt;53&lt;/volume&gt;&lt;dates&gt;&lt;year&gt;2020&lt;/year&gt;&lt;/dates&gt;&lt;isbn&gt;0960-9776&lt;/isbn&gt;&lt;urls&gt;&lt;/urls&gt;&lt;/record&gt;&lt;/Cite&gt;&lt;/EndNote&gt;</w:instrText>
      </w:r>
      <w:r w:rsidR="007567A7">
        <w:rPr>
          <w:rFonts w:asciiTheme="majorBidi" w:hAnsiTheme="majorBidi" w:cstheme="majorBidi"/>
          <w:sz w:val="24"/>
          <w:szCs w:val="24"/>
        </w:rPr>
        <w:fldChar w:fldCharType="separate"/>
      </w:r>
      <w:r w:rsidR="009C0CB3">
        <w:rPr>
          <w:rFonts w:asciiTheme="majorBidi" w:hAnsiTheme="majorBidi" w:cstheme="majorBidi"/>
          <w:noProof/>
          <w:sz w:val="24"/>
          <w:szCs w:val="24"/>
        </w:rPr>
        <w:t>(16)</w:t>
      </w:r>
      <w:r w:rsidR="007567A7">
        <w:rPr>
          <w:rFonts w:asciiTheme="majorBidi" w:hAnsiTheme="majorBidi" w:cstheme="majorBidi"/>
          <w:sz w:val="24"/>
          <w:szCs w:val="24"/>
        </w:rPr>
        <w:fldChar w:fldCharType="end"/>
      </w:r>
      <w:r w:rsidRPr="00E171E9">
        <w:rPr>
          <w:rFonts w:asciiTheme="majorBidi" w:hAnsiTheme="majorBidi" w:cstheme="majorBidi"/>
          <w:sz w:val="24"/>
          <w:szCs w:val="24"/>
        </w:rPr>
        <w:t xml:space="preserve">. </w:t>
      </w:r>
      <w:r w:rsidR="00E171E9" w:rsidRPr="00E171E9">
        <w:rPr>
          <w:rFonts w:asciiTheme="majorBidi" w:hAnsiTheme="majorBidi" w:cstheme="majorBidi"/>
          <w:sz w:val="24"/>
          <w:szCs w:val="24"/>
        </w:rPr>
        <w:t>These negative connections could be related to the roles of excessive inflammation and impaired immunological activity in the course of these disorders. As a result, NLR is a helpful indicator of vulnerability to subsequent brain injury and post-stroke problems caused by increased neutrophils and decreased lymphoc</w:t>
      </w:r>
      <w:r w:rsidR="007567A7">
        <w:rPr>
          <w:rFonts w:asciiTheme="majorBidi" w:hAnsiTheme="majorBidi" w:cstheme="majorBidi"/>
          <w:sz w:val="24"/>
          <w:szCs w:val="24"/>
        </w:rPr>
        <w:t xml:space="preserve">ytes </w:t>
      </w:r>
      <w:r w:rsidR="007567A7">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&lt;EndNote&gt;&lt;Cite&gt;&lt;Author&gt;Yu&lt;/Author&gt;&lt;Year&gt;2018&lt;/Year&gt;&lt;RecNum&gt;17&lt;/RecNum&gt;&lt;DisplayText&gt;(17)&lt;/DisplayText&gt;&lt;record&gt;&lt;rec-number&gt;17&lt;/rec-number&gt;&lt;foreign-keys&gt;&lt;key app="EN" db-id="rr0ve5twvwadv9eezf4x2wz3awv0sxessv5p" timestamp="1687795130"&gt;17&lt;/key&gt;&lt;/foreign-keys&gt;&lt;ref-type name="Journal Article"&gt;17&lt;/ref-type&gt;&lt;contributors&gt;&lt;authors&gt;&lt;author&gt;Yu, Sungwook&lt;/author&gt;&lt;author&gt;Arima, Hisatomi&lt;/author&gt;&lt;author&gt;Bertmar, Carin&lt;/author&gt;&lt;author&gt;Clarke, Stephen&lt;/author&gt;&lt;author&gt;Herkes, Geoffrey&lt;/author&gt;&lt;author&gt;Krause, Martin&lt;/author&gt;&lt;/authors&gt;&lt;/contributors&gt;&lt;titles&gt;&lt;title&gt;Neutrophil to lymphocyte ratio and early clinical outcomes in patients with acute ischemic stroke&lt;/title&gt;&lt;secondary-title&gt;Journal of the neurological sciences&lt;/secondary-title&gt;&lt;/titles&gt;&lt;periodical&gt;&lt;full-title&gt;Journal of the neurological sciences&lt;/full-title&gt;&lt;/periodical&gt;&lt;pages&gt;115-118&lt;/pages&gt;&lt;volume&gt;387&lt;/volume&gt;&lt;dates&gt;&lt;year&gt;2018&lt;/year&gt;&lt;/dates&gt;&lt;isbn&gt;0022-510X&lt;/isbn&gt;&lt;urls&gt;&lt;/urls&gt;&lt;/record&gt;&lt;/Cite&gt;&lt;/EndNote&gt;</w:instrText>
      </w:r>
      <w:r w:rsidR="007567A7">
        <w:rPr>
          <w:rFonts w:asciiTheme="majorBidi" w:hAnsiTheme="majorBidi" w:cstheme="majorBidi"/>
          <w:sz w:val="24"/>
          <w:szCs w:val="24"/>
        </w:rPr>
        <w:fldChar w:fldCharType="separate"/>
      </w:r>
      <w:r w:rsidR="009C0CB3">
        <w:rPr>
          <w:rFonts w:asciiTheme="majorBidi" w:hAnsiTheme="majorBidi" w:cstheme="majorBidi"/>
          <w:noProof/>
          <w:sz w:val="24"/>
          <w:szCs w:val="24"/>
        </w:rPr>
        <w:t>(17)</w:t>
      </w:r>
      <w:r w:rsidR="007567A7">
        <w:rPr>
          <w:rFonts w:asciiTheme="majorBidi" w:hAnsiTheme="majorBidi" w:cstheme="majorBidi"/>
          <w:sz w:val="24"/>
          <w:szCs w:val="24"/>
        </w:rPr>
        <w:fldChar w:fldCharType="end"/>
      </w:r>
      <w:r w:rsidR="00E171E9" w:rsidRPr="00E171E9">
        <w:rPr>
          <w:rFonts w:asciiTheme="majorBidi" w:hAnsiTheme="majorBidi" w:cstheme="majorBidi"/>
          <w:sz w:val="24"/>
          <w:szCs w:val="24"/>
        </w:rPr>
        <w:t xml:space="preserve">. There is evidence that patients with higher neutrophil levels and lower lymphocyte levels had less </w:t>
      </w:r>
      <w:r w:rsidR="001E7CA0" w:rsidRPr="00E171E9">
        <w:rPr>
          <w:rFonts w:asciiTheme="majorBidi" w:hAnsiTheme="majorBidi" w:cstheme="majorBidi"/>
          <w:sz w:val="24"/>
          <w:szCs w:val="24"/>
        </w:rPr>
        <w:t>favorable</w:t>
      </w:r>
      <w:r w:rsidR="00E171E9" w:rsidRPr="00E171E9">
        <w:rPr>
          <w:rFonts w:asciiTheme="majorBidi" w:hAnsiTheme="majorBidi" w:cstheme="majorBidi"/>
          <w:sz w:val="24"/>
          <w:szCs w:val="24"/>
        </w:rPr>
        <w:t xml:space="preserve"> outcomes in ischemic and hemorrhagic strokes</w:t>
      </w:r>
      <w:r w:rsidR="007567A7">
        <w:rPr>
          <w:rFonts w:asciiTheme="majorBidi" w:hAnsiTheme="majorBidi" w:cstheme="majorBidi"/>
          <w:sz w:val="24"/>
          <w:szCs w:val="24"/>
        </w:rPr>
        <w:t xml:space="preserve"> </w:t>
      </w:r>
      <w:r w:rsidR="007567A7">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&lt;EndNote&gt;&lt;Cite&gt;&lt;Author&gt;Dehghanei&lt;/Author&gt;&lt;Year&gt;2020&lt;/Year&gt;&lt;RecNum&gt;18&lt;/RecNum&gt;&lt;DisplayText&gt;(18)&lt;/DisplayText&gt;&lt;record&gt;&lt;rec-number&gt;18&lt;/rec-number&gt;&lt;foreign-keys&gt;&lt;key app="EN" db-id="rr0ve5twvwadv9eezf4x2wz3awv0sxessv5p" timestamp="1687795200"&gt;18&lt;/key&gt;&lt;/foreign-keys&gt;&lt;ref-type name="Journal Article"&gt;17&lt;/ref-type&gt;&lt;contributors&gt;&lt;authors&gt;&lt;author&gt;Dehghanei, Maryam&lt;/author&gt;&lt;author&gt;ArefNezhad, Reza&lt;/author&gt;&lt;author&gt;Motedayyen, Hossein&lt;/author&gt;&lt;/authors&gt;&lt;/contributors&gt;&lt;titles&gt;&lt;title&gt;The Predicting Role of Neutrophil–Lymphocyte Ratio in Patients with Acute Ischemic and Hemorrhagic Stroke&lt;/title&gt;&lt;secondary-title&gt;Journal of Stroke and Cerebrovascular Diseases&lt;/secondary-title&gt;&lt;/titles&gt;&lt;periodical&gt;&lt;full-title&gt;Journal of Stroke and Cerebrovascular Diseases&lt;/full-title&gt;&lt;/periodical&gt;&lt;pages&gt;105233&lt;/pages&gt;&lt;volume&gt;29&lt;/volume&gt;&lt;number&gt;11&lt;/number&gt;&lt;dates&gt;&lt;year&gt;2020&lt;/year&gt;&lt;/dates&gt;&lt;isbn&gt;1052-3057&lt;/isbn&gt;&lt;urls&gt;&lt;/urls&gt;&lt;/record&gt;&lt;/Cite&gt;&lt;/EndNote&gt;</w:instrText>
      </w:r>
      <w:r w:rsidR="007567A7">
        <w:rPr>
          <w:rFonts w:asciiTheme="majorBidi" w:hAnsiTheme="majorBidi" w:cstheme="majorBidi"/>
          <w:sz w:val="24"/>
          <w:szCs w:val="24"/>
        </w:rPr>
        <w:fldChar w:fldCharType="separate"/>
      </w:r>
      <w:r w:rsidR="009C0CB3">
        <w:rPr>
          <w:rFonts w:asciiTheme="majorBidi" w:hAnsiTheme="majorBidi" w:cstheme="majorBidi"/>
          <w:noProof/>
          <w:sz w:val="24"/>
          <w:szCs w:val="24"/>
        </w:rPr>
        <w:t>(18)</w:t>
      </w:r>
      <w:r w:rsidR="007567A7">
        <w:rPr>
          <w:rFonts w:asciiTheme="majorBidi" w:hAnsiTheme="majorBidi" w:cstheme="majorBidi"/>
          <w:sz w:val="24"/>
          <w:szCs w:val="24"/>
        </w:rPr>
        <w:fldChar w:fldCharType="end"/>
      </w:r>
      <w:r w:rsidR="00E171E9" w:rsidRPr="00E171E9">
        <w:rPr>
          <w:rFonts w:asciiTheme="majorBidi" w:hAnsiTheme="majorBidi" w:cstheme="majorBidi"/>
          <w:sz w:val="24"/>
          <w:szCs w:val="24"/>
        </w:rPr>
        <w:t xml:space="preserve">. These results </w:t>
      </w:r>
      <w:r w:rsidR="00F2356B">
        <w:rPr>
          <w:rFonts w:asciiTheme="majorBidi" w:hAnsiTheme="majorBidi" w:cstheme="majorBidi"/>
          <w:sz w:val="24"/>
          <w:szCs w:val="24"/>
        </w:rPr>
        <w:t>suggest</w:t>
      </w:r>
      <w:r w:rsidR="00E171E9" w:rsidRPr="00E171E9">
        <w:rPr>
          <w:rFonts w:asciiTheme="majorBidi" w:hAnsiTheme="majorBidi" w:cstheme="majorBidi"/>
          <w:sz w:val="24"/>
          <w:szCs w:val="24"/>
        </w:rPr>
        <w:t xml:space="preserve"> that assessing the NLR in</w:t>
      </w:r>
      <w:r w:rsidR="000106A9">
        <w:rPr>
          <w:rFonts w:asciiTheme="majorBidi" w:hAnsiTheme="majorBidi" w:cstheme="majorBidi"/>
          <w:sz w:val="24"/>
          <w:szCs w:val="24"/>
        </w:rPr>
        <w:t xml:space="preserve"> the CSF of</w:t>
      </w:r>
      <w:r w:rsidR="00E171E9" w:rsidRPr="00E171E9">
        <w:rPr>
          <w:rFonts w:asciiTheme="majorBidi" w:hAnsiTheme="majorBidi" w:cstheme="majorBidi"/>
          <w:sz w:val="24"/>
          <w:szCs w:val="24"/>
        </w:rPr>
        <w:t xml:space="preserve"> patients with hydrocephalus may be especially important because inflammatory responses emerge to have a substantial impact on prognosis following EVD treatment. NLR may thus be predictive of death in hydrocephalus patients, as well as the general influence of inflammation and </w:t>
      </w:r>
      <w:r w:rsidR="00F31F98">
        <w:rPr>
          <w:rFonts w:asciiTheme="majorBidi" w:hAnsiTheme="majorBidi" w:cstheme="majorBidi"/>
          <w:sz w:val="24"/>
          <w:szCs w:val="24"/>
        </w:rPr>
        <w:t xml:space="preserve">the </w:t>
      </w:r>
      <w:r w:rsidR="00E171E9" w:rsidRPr="00E171E9">
        <w:rPr>
          <w:rFonts w:asciiTheme="majorBidi" w:hAnsiTheme="majorBidi" w:cstheme="majorBidi"/>
          <w:sz w:val="24"/>
          <w:szCs w:val="24"/>
        </w:rPr>
        <w:t>immune</w:t>
      </w:r>
      <w:r w:rsidR="00070B17">
        <w:rPr>
          <w:rFonts w:asciiTheme="majorBidi" w:hAnsiTheme="majorBidi" w:cstheme="majorBidi"/>
          <w:sz w:val="24"/>
          <w:szCs w:val="24"/>
        </w:rPr>
        <w:t xml:space="preserve"> system on health</w:t>
      </w:r>
      <w:r w:rsidR="00E171E9" w:rsidRPr="00E171E9">
        <w:rPr>
          <w:rFonts w:asciiTheme="majorBidi" w:hAnsiTheme="majorBidi" w:cstheme="majorBidi"/>
          <w:sz w:val="24"/>
          <w:szCs w:val="24"/>
        </w:rPr>
        <w:t>.</w:t>
      </w:r>
      <w:r w:rsidR="008B146A" w:rsidRPr="00E171E9">
        <w:rPr>
          <w:rFonts w:asciiTheme="majorBidi" w:hAnsiTheme="majorBidi" w:cstheme="majorBidi"/>
          <w:sz w:val="24"/>
          <w:szCs w:val="24"/>
        </w:rPr>
        <w:t xml:space="preserve"> </w:t>
      </w:r>
      <w:r w:rsidR="00E171E9" w:rsidRPr="00E171E9">
        <w:rPr>
          <w:rFonts w:asciiTheme="majorBidi" w:hAnsiTheme="majorBidi" w:cstheme="majorBidi"/>
          <w:sz w:val="24"/>
          <w:szCs w:val="24"/>
        </w:rPr>
        <w:t xml:space="preserve">A better understanding of the relationship between NLR and critical clinical factors on mortality rate would assist in elucidating the function of inflammation and immune response in the progression </w:t>
      </w:r>
      <w:r w:rsidR="00E171E9" w:rsidRPr="00E171E9">
        <w:rPr>
          <w:rFonts w:asciiTheme="majorBidi" w:hAnsiTheme="majorBidi" w:cstheme="majorBidi"/>
          <w:sz w:val="24"/>
          <w:szCs w:val="24"/>
        </w:rPr>
        <w:lastRenderedPageBreak/>
        <w:t xml:space="preserve">and consequences of many diseases. While </w:t>
      </w:r>
      <w:r w:rsidR="00F31F98">
        <w:rPr>
          <w:rFonts w:asciiTheme="majorBidi" w:hAnsiTheme="majorBidi" w:cstheme="majorBidi"/>
          <w:sz w:val="24"/>
          <w:szCs w:val="24"/>
        </w:rPr>
        <w:t>several</w:t>
      </w:r>
      <w:r w:rsidR="00E171E9" w:rsidRPr="00E171E9">
        <w:rPr>
          <w:rFonts w:asciiTheme="majorBidi" w:hAnsiTheme="majorBidi" w:cstheme="majorBidi"/>
          <w:sz w:val="24"/>
          <w:szCs w:val="24"/>
        </w:rPr>
        <w:t xml:space="preserve"> studies have examined the predictive usefulness of NLR in terms of mortality rates owing to </w:t>
      </w:r>
      <w:r w:rsidR="00F12CE6" w:rsidRPr="00E171E9">
        <w:rPr>
          <w:rFonts w:asciiTheme="majorBidi" w:hAnsiTheme="majorBidi" w:cstheme="majorBidi"/>
          <w:sz w:val="24"/>
          <w:szCs w:val="24"/>
        </w:rPr>
        <w:t xml:space="preserve">cancer, </w:t>
      </w:r>
      <w:r w:rsidR="00F12CE6">
        <w:rPr>
          <w:rFonts w:asciiTheme="majorBidi" w:hAnsiTheme="majorBidi" w:cstheme="majorBidi"/>
          <w:sz w:val="24"/>
          <w:szCs w:val="24"/>
        </w:rPr>
        <w:t>cardiac</w:t>
      </w:r>
      <w:r w:rsidR="00E171E9" w:rsidRPr="00E171E9">
        <w:rPr>
          <w:rFonts w:asciiTheme="majorBidi" w:hAnsiTheme="majorBidi" w:cstheme="majorBidi"/>
          <w:sz w:val="24"/>
          <w:szCs w:val="24"/>
        </w:rPr>
        <w:t xml:space="preserve"> disease, or stroke, no </w:t>
      </w:r>
      <w:r w:rsidR="00F12CE6">
        <w:rPr>
          <w:rFonts w:asciiTheme="majorBidi" w:hAnsiTheme="majorBidi" w:cstheme="majorBidi"/>
          <w:sz w:val="24"/>
          <w:szCs w:val="24"/>
        </w:rPr>
        <w:t>research</w:t>
      </w:r>
      <w:r w:rsidR="00E171E9" w:rsidRPr="00E171E9">
        <w:rPr>
          <w:rFonts w:asciiTheme="majorBidi" w:hAnsiTheme="majorBidi" w:cstheme="majorBidi"/>
          <w:sz w:val="24"/>
          <w:szCs w:val="24"/>
        </w:rPr>
        <w:t xml:space="preserve"> has examined such relationships in the context of hydrocephalus. The current study attempted to examine the connections of the NLR combined with significant clinical parameters with overall mortality and prognosis in </w:t>
      </w:r>
      <w:r w:rsidR="000106A9">
        <w:rPr>
          <w:rFonts w:asciiTheme="majorBidi" w:hAnsiTheme="majorBidi" w:cstheme="majorBidi"/>
          <w:sz w:val="24"/>
          <w:szCs w:val="24"/>
        </w:rPr>
        <w:t xml:space="preserve">the CSF of </w:t>
      </w:r>
      <w:r w:rsidR="00E171E9" w:rsidRPr="00E171E9">
        <w:rPr>
          <w:rFonts w:asciiTheme="majorBidi" w:hAnsiTheme="majorBidi" w:cstheme="majorBidi"/>
          <w:sz w:val="24"/>
          <w:szCs w:val="24"/>
        </w:rPr>
        <w:t xml:space="preserve">patients with hydrocephalus after EVD, </w:t>
      </w:r>
      <w:r w:rsidR="00F31F98">
        <w:rPr>
          <w:rFonts w:asciiTheme="majorBidi" w:hAnsiTheme="majorBidi" w:cstheme="majorBidi"/>
          <w:sz w:val="24"/>
          <w:szCs w:val="24"/>
        </w:rPr>
        <w:t>intending to provide</w:t>
      </w:r>
      <w:r w:rsidR="00E171E9" w:rsidRPr="00E171E9">
        <w:rPr>
          <w:rFonts w:asciiTheme="majorBidi" w:hAnsiTheme="majorBidi" w:cstheme="majorBidi"/>
          <w:sz w:val="24"/>
          <w:szCs w:val="24"/>
        </w:rPr>
        <w:t xml:space="preserve"> more support information for hydrocephalus management.</w:t>
      </w:r>
    </w:p>
    <w:p w14:paraId="0E3C06C0" w14:textId="77777777" w:rsidR="004E23D0" w:rsidRPr="002147EE" w:rsidRDefault="00E70100" w:rsidP="002147EE">
      <w:pPr>
        <w:spacing w:line="360" w:lineRule="auto"/>
        <w:jc w:val="both"/>
        <w:rPr>
          <w:rFonts w:asciiTheme="majorBidi" w:hAnsiTheme="majorBidi" w:cstheme="majorBidi"/>
          <w:b/>
          <w:bCs/>
          <w:sz w:val="24"/>
          <w:szCs w:val="24"/>
        </w:rPr>
      </w:pPr>
      <w:r w:rsidRPr="002147EE">
        <w:rPr>
          <w:rFonts w:asciiTheme="majorBidi" w:hAnsiTheme="majorBidi" w:cstheme="majorBidi"/>
          <w:b/>
          <w:bCs/>
          <w:sz w:val="24"/>
          <w:szCs w:val="24"/>
        </w:rPr>
        <w:t xml:space="preserve">Methods </w:t>
      </w:r>
    </w:p>
    <w:p w14:paraId="2FDB9FBC" w14:textId="77777777" w:rsidR="00E70100" w:rsidRPr="002147EE" w:rsidRDefault="00E70100" w:rsidP="002147EE">
      <w:pPr>
        <w:spacing w:line="360" w:lineRule="auto"/>
        <w:jc w:val="both"/>
        <w:rPr>
          <w:rFonts w:asciiTheme="majorBidi" w:hAnsiTheme="majorBidi" w:cstheme="majorBidi"/>
          <w:b/>
          <w:bCs/>
          <w:sz w:val="24"/>
          <w:szCs w:val="24"/>
        </w:rPr>
      </w:pPr>
      <w:r w:rsidRPr="002147EE">
        <w:rPr>
          <w:rFonts w:asciiTheme="majorBidi" w:hAnsiTheme="majorBidi" w:cstheme="majorBidi"/>
          <w:b/>
          <w:bCs/>
          <w:sz w:val="24"/>
          <w:szCs w:val="24"/>
        </w:rPr>
        <w:t>Study design</w:t>
      </w:r>
    </w:p>
    <w:p w14:paraId="178BBAAD" w14:textId="77777777" w:rsidR="00684F71" w:rsidRPr="002147EE" w:rsidRDefault="00684F71" w:rsidP="00F12CE6">
      <w:pPr>
        <w:spacing w:line="360" w:lineRule="auto"/>
        <w:jc w:val="both"/>
        <w:rPr>
          <w:rStyle w:val="fontstyle21"/>
          <w:rFonts w:asciiTheme="majorBidi" w:hAnsiTheme="majorBidi" w:cstheme="majorBidi"/>
          <w:b w:val="0"/>
          <w:bCs w:val="0"/>
        </w:rPr>
      </w:pPr>
      <w:r w:rsidRPr="002147EE">
        <w:rPr>
          <w:rStyle w:val="fontstyle21"/>
          <w:rFonts w:asciiTheme="majorBidi" w:hAnsiTheme="majorBidi" w:cstheme="majorBidi"/>
          <w:b w:val="0"/>
          <w:bCs w:val="0"/>
        </w:rPr>
        <w:t xml:space="preserve">We conducted a cross-sectional study on 40 consecutive hydrocephalus patients who underwent EVD insertions in the Neurosurgery </w:t>
      </w:r>
      <w:r w:rsidR="00F12CE6">
        <w:rPr>
          <w:rStyle w:val="fontstyle21"/>
          <w:rFonts w:asciiTheme="majorBidi" w:hAnsiTheme="majorBidi" w:cstheme="majorBidi"/>
          <w:b w:val="0"/>
          <w:bCs w:val="0"/>
        </w:rPr>
        <w:t>ward</w:t>
      </w:r>
      <w:r w:rsidRPr="002147EE">
        <w:rPr>
          <w:rStyle w:val="fontstyle21"/>
          <w:rFonts w:asciiTheme="majorBidi" w:hAnsiTheme="majorBidi" w:cstheme="majorBidi"/>
          <w:b w:val="0"/>
          <w:bCs w:val="0"/>
        </w:rPr>
        <w:t xml:space="preserve"> of </w:t>
      </w:r>
      <w:proofErr w:type="spellStart"/>
      <w:r w:rsidRPr="002147EE">
        <w:rPr>
          <w:rStyle w:val="fontstyle21"/>
          <w:rFonts w:asciiTheme="majorBidi" w:hAnsiTheme="majorBidi" w:cstheme="majorBidi"/>
          <w:b w:val="0"/>
          <w:bCs w:val="0"/>
        </w:rPr>
        <w:t>Poursina</w:t>
      </w:r>
      <w:proofErr w:type="spellEnd"/>
      <w:r w:rsidRPr="002147EE">
        <w:rPr>
          <w:rStyle w:val="fontstyle21"/>
          <w:rFonts w:asciiTheme="majorBidi" w:hAnsiTheme="majorBidi" w:cstheme="majorBidi"/>
          <w:b w:val="0"/>
          <w:bCs w:val="0"/>
        </w:rPr>
        <w:t xml:space="preserve"> </w:t>
      </w:r>
      <w:r w:rsidR="00F31F98">
        <w:rPr>
          <w:rStyle w:val="fontstyle21"/>
          <w:rFonts w:asciiTheme="majorBidi" w:hAnsiTheme="majorBidi" w:cstheme="majorBidi"/>
          <w:b w:val="0"/>
          <w:bCs w:val="0"/>
        </w:rPr>
        <w:t>H</w:t>
      </w:r>
      <w:r w:rsidRPr="002147EE">
        <w:rPr>
          <w:rStyle w:val="fontstyle21"/>
          <w:rFonts w:asciiTheme="majorBidi" w:hAnsiTheme="majorBidi" w:cstheme="majorBidi"/>
          <w:b w:val="0"/>
          <w:bCs w:val="0"/>
        </w:rPr>
        <w:t>ospital in Rasht, Iran, between January 2020 and December 2022. the ethical committee of our hospital approved the study design.  All patients or their families provided informed consent.  A convenient means of sampling was selected in this research.</w:t>
      </w:r>
    </w:p>
    <w:p w14:paraId="66854E58" w14:textId="77777777" w:rsidR="00E70100" w:rsidRPr="002147EE" w:rsidRDefault="00E70100" w:rsidP="002147EE">
      <w:pPr>
        <w:spacing w:line="360" w:lineRule="auto"/>
        <w:jc w:val="both"/>
        <w:rPr>
          <w:rFonts w:asciiTheme="majorBidi" w:hAnsiTheme="majorBidi" w:cstheme="majorBidi"/>
          <w:b/>
          <w:bCs/>
          <w:color w:val="000000"/>
          <w:sz w:val="24"/>
          <w:szCs w:val="24"/>
        </w:rPr>
      </w:pPr>
      <w:r w:rsidRPr="002147EE">
        <w:rPr>
          <w:rFonts w:asciiTheme="majorBidi" w:hAnsiTheme="majorBidi" w:cstheme="majorBidi"/>
          <w:b/>
          <w:bCs/>
          <w:color w:val="000000"/>
          <w:sz w:val="24"/>
          <w:szCs w:val="24"/>
        </w:rPr>
        <w:t>Patient selection</w:t>
      </w:r>
    </w:p>
    <w:p w14:paraId="231B7B75" w14:textId="77777777" w:rsidR="00217F4A" w:rsidRPr="002147EE" w:rsidRDefault="002C2175" w:rsidP="000106A9">
      <w:pPr>
        <w:spacing w:line="360" w:lineRule="auto"/>
        <w:jc w:val="both"/>
        <w:rPr>
          <w:rFonts w:asciiTheme="majorBidi" w:hAnsiTheme="majorBidi" w:cstheme="majorBidi"/>
          <w:sz w:val="24"/>
          <w:szCs w:val="24"/>
        </w:rPr>
      </w:pPr>
      <w:r w:rsidRPr="002147EE">
        <w:rPr>
          <w:rFonts w:asciiTheme="majorBidi" w:hAnsiTheme="majorBidi" w:cstheme="majorBidi"/>
          <w:sz w:val="24"/>
          <w:szCs w:val="24"/>
        </w:rPr>
        <w:t>The following were the inclusion criteria: 1) All patients with hydrocephalus on admission CT who had EVD insertion and a CSF sample taken from the surgical site; 2) patient age≥18 years</w:t>
      </w:r>
      <w:r w:rsidR="0078475C" w:rsidRPr="002147EE">
        <w:rPr>
          <w:rFonts w:asciiTheme="majorBidi" w:hAnsiTheme="majorBidi" w:cstheme="majorBidi"/>
          <w:sz w:val="24"/>
          <w:szCs w:val="24"/>
        </w:rPr>
        <w:t>;</w:t>
      </w:r>
      <w:r w:rsidRPr="002147EE">
        <w:rPr>
          <w:rFonts w:asciiTheme="majorBidi" w:hAnsiTheme="majorBidi" w:cstheme="majorBidi"/>
          <w:sz w:val="24"/>
          <w:szCs w:val="24"/>
        </w:rPr>
        <w:t xml:space="preserve"> 3) The duration of intensive care unit (ICU) and hospitalization, as well as short-term mortality (death occurred </w:t>
      </w:r>
      <w:r w:rsidR="00F31F98">
        <w:rPr>
          <w:rFonts w:asciiTheme="majorBidi" w:hAnsiTheme="majorBidi" w:cstheme="majorBidi"/>
          <w:sz w:val="24"/>
          <w:szCs w:val="24"/>
        </w:rPr>
        <w:t>before</w:t>
      </w:r>
      <w:r w:rsidRPr="002147EE">
        <w:rPr>
          <w:rFonts w:asciiTheme="majorBidi" w:hAnsiTheme="majorBidi" w:cstheme="majorBidi"/>
          <w:sz w:val="24"/>
          <w:szCs w:val="24"/>
        </w:rPr>
        <w:t xml:space="preserve"> hospital discharge) were recorded</w:t>
      </w:r>
      <w:r w:rsidR="0078475C" w:rsidRPr="002147EE">
        <w:rPr>
          <w:rFonts w:asciiTheme="majorBidi" w:hAnsiTheme="majorBidi" w:cstheme="majorBidi"/>
          <w:sz w:val="24"/>
          <w:szCs w:val="24"/>
        </w:rPr>
        <w:t>;</w:t>
      </w:r>
      <w:r w:rsidRPr="002147EE">
        <w:rPr>
          <w:rFonts w:asciiTheme="majorBidi" w:hAnsiTheme="majorBidi" w:cstheme="majorBidi"/>
          <w:sz w:val="24"/>
          <w:szCs w:val="24"/>
        </w:rPr>
        <w:t xml:space="preserve"> 4) First </w:t>
      </w:r>
      <w:r w:rsidR="000106A9">
        <w:rPr>
          <w:rFonts w:asciiTheme="majorBidi" w:hAnsiTheme="majorBidi" w:cstheme="majorBidi"/>
          <w:sz w:val="24"/>
          <w:szCs w:val="24"/>
        </w:rPr>
        <w:t xml:space="preserve">CSF </w:t>
      </w:r>
      <w:r w:rsidRPr="002147EE">
        <w:rPr>
          <w:rFonts w:asciiTheme="majorBidi" w:hAnsiTheme="majorBidi" w:cstheme="majorBidi"/>
          <w:sz w:val="24"/>
          <w:szCs w:val="24"/>
        </w:rPr>
        <w:t>specimen for laboratory tests 24 hours after admission</w:t>
      </w:r>
      <w:r w:rsidR="0078475C" w:rsidRPr="002147EE">
        <w:rPr>
          <w:rFonts w:asciiTheme="majorBidi" w:hAnsiTheme="majorBidi" w:cstheme="majorBidi"/>
          <w:sz w:val="24"/>
          <w:szCs w:val="24"/>
        </w:rPr>
        <w:t>;</w:t>
      </w:r>
      <w:r w:rsidRPr="002147EE">
        <w:rPr>
          <w:rFonts w:asciiTheme="majorBidi" w:hAnsiTheme="majorBidi" w:cstheme="majorBidi"/>
          <w:sz w:val="24"/>
          <w:szCs w:val="24"/>
        </w:rPr>
        <w:t xml:space="preserve"> 5) WBC count greater than 5 in CSF sample and cell index greater than 1 in case of intraventricular hemorrhage (IVH).</w:t>
      </w:r>
      <w:r w:rsidR="0078475C" w:rsidRPr="002147EE">
        <w:rPr>
          <w:rFonts w:asciiTheme="majorBidi" w:hAnsiTheme="majorBidi" w:cstheme="majorBidi"/>
          <w:sz w:val="24"/>
          <w:szCs w:val="24"/>
        </w:rPr>
        <w:t xml:space="preserve"> </w:t>
      </w:r>
      <w:r w:rsidRPr="002147EE">
        <w:rPr>
          <w:rFonts w:asciiTheme="majorBidi" w:hAnsiTheme="majorBidi" w:cstheme="majorBidi"/>
          <w:sz w:val="24"/>
          <w:szCs w:val="24"/>
        </w:rPr>
        <w:t>The following were the exclusion criteria: 1) the lack of laboratory results for testing 24 hours after admission</w:t>
      </w:r>
      <w:r w:rsidR="00E70100" w:rsidRPr="002147EE">
        <w:rPr>
          <w:rFonts w:asciiTheme="majorBidi" w:hAnsiTheme="majorBidi" w:cstheme="majorBidi"/>
          <w:sz w:val="24"/>
          <w:szCs w:val="24"/>
        </w:rPr>
        <w:t xml:space="preserve">; </w:t>
      </w:r>
      <w:r w:rsidR="00F12CE6">
        <w:rPr>
          <w:rFonts w:asciiTheme="majorBidi" w:hAnsiTheme="majorBidi" w:cstheme="majorBidi"/>
          <w:sz w:val="24"/>
          <w:szCs w:val="24"/>
        </w:rPr>
        <w:t>2</w:t>
      </w:r>
      <w:r w:rsidR="00E70100" w:rsidRPr="002147EE">
        <w:rPr>
          <w:rFonts w:asciiTheme="majorBidi" w:hAnsiTheme="majorBidi" w:cstheme="majorBidi"/>
          <w:sz w:val="24"/>
          <w:szCs w:val="24"/>
        </w:rPr>
        <w:t xml:space="preserve">) </w:t>
      </w:r>
      <w:r w:rsidR="00F12CE6">
        <w:rPr>
          <w:rFonts w:asciiTheme="majorBidi" w:hAnsiTheme="majorBidi" w:cstheme="majorBidi"/>
          <w:sz w:val="24"/>
          <w:szCs w:val="24"/>
        </w:rPr>
        <w:t>&lt;</w:t>
      </w:r>
      <w:r w:rsidR="00F12CE6" w:rsidRPr="00F12CE6">
        <w:rPr>
          <w:rFonts w:asciiTheme="majorBidi" w:hAnsiTheme="majorBidi" w:cstheme="majorBidi"/>
          <w:sz w:val="24"/>
          <w:szCs w:val="24"/>
        </w:rPr>
        <w:t>4 days survival from the onset of symptoms</w:t>
      </w:r>
      <w:r w:rsidR="00F12CE6">
        <w:rPr>
          <w:rFonts w:asciiTheme="majorBidi" w:hAnsiTheme="majorBidi" w:cstheme="majorBidi"/>
          <w:sz w:val="24"/>
          <w:szCs w:val="24"/>
        </w:rPr>
        <w:t>; 3</w:t>
      </w:r>
      <w:r w:rsidR="00217F4A" w:rsidRPr="002147EE">
        <w:rPr>
          <w:rFonts w:asciiTheme="majorBidi" w:hAnsiTheme="majorBidi" w:cstheme="majorBidi"/>
          <w:sz w:val="24"/>
          <w:szCs w:val="24"/>
        </w:rPr>
        <w:t xml:space="preserve">) individuals who had surgery </w:t>
      </w:r>
      <w:r w:rsidR="00F31F98">
        <w:rPr>
          <w:rFonts w:asciiTheme="majorBidi" w:hAnsiTheme="majorBidi" w:cstheme="majorBidi"/>
          <w:sz w:val="24"/>
          <w:szCs w:val="24"/>
        </w:rPr>
        <w:t>before</w:t>
      </w:r>
      <w:r w:rsidR="00217F4A" w:rsidRPr="002147EE">
        <w:rPr>
          <w:rFonts w:asciiTheme="majorBidi" w:hAnsiTheme="majorBidi" w:cstheme="majorBidi"/>
          <w:sz w:val="24"/>
          <w:szCs w:val="24"/>
        </w:rPr>
        <w:t xml:space="preserve"> the 24-hour CT; </w:t>
      </w:r>
      <w:r w:rsidR="00F12CE6">
        <w:rPr>
          <w:rFonts w:asciiTheme="majorBidi" w:hAnsiTheme="majorBidi" w:cstheme="majorBidi"/>
          <w:sz w:val="24"/>
          <w:szCs w:val="24"/>
        </w:rPr>
        <w:t>4</w:t>
      </w:r>
      <w:r w:rsidR="00217F4A" w:rsidRPr="002147EE">
        <w:rPr>
          <w:rFonts w:asciiTheme="majorBidi" w:hAnsiTheme="majorBidi" w:cstheme="majorBidi"/>
          <w:sz w:val="24"/>
          <w:szCs w:val="24"/>
        </w:rPr>
        <w:t xml:space="preserve">) past cerebral abnormalities such as ischemia or hemorrhagic stroke; </w:t>
      </w:r>
      <w:r w:rsidR="00F12CE6">
        <w:rPr>
          <w:rFonts w:asciiTheme="majorBidi" w:hAnsiTheme="majorBidi" w:cstheme="majorBidi"/>
          <w:sz w:val="24"/>
          <w:szCs w:val="24"/>
        </w:rPr>
        <w:t>5</w:t>
      </w:r>
      <w:r w:rsidR="00217F4A" w:rsidRPr="002147EE">
        <w:rPr>
          <w:rFonts w:asciiTheme="majorBidi" w:hAnsiTheme="majorBidi" w:cstheme="majorBidi"/>
          <w:sz w:val="24"/>
          <w:szCs w:val="24"/>
        </w:rPr>
        <w:t xml:space="preserve">) immunodeficiency or autoimmune disorders; </w:t>
      </w:r>
      <w:r w:rsidR="00F12CE6">
        <w:rPr>
          <w:rFonts w:asciiTheme="majorBidi" w:hAnsiTheme="majorBidi" w:cstheme="majorBidi"/>
          <w:sz w:val="24"/>
          <w:szCs w:val="24"/>
        </w:rPr>
        <w:t>6</w:t>
      </w:r>
      <w:r w:rsidR="00217F4A" w:rsidRPr="002147EE">
        <w:rPr>
          <w:rFonts w:asciiTheme="majorBidi" w:hAnsiTheme="majorBidi" w:cstheme="majorBidi"/>
          <w:sz w:val="24"/>
          <w:szCs w:val="24"/>
        </w:rPr>
        <w:t xml:space="preserve">) hematologic diseases and </w:t>
      </w:r>
      <w:r w:rsidR="00F31F98" w:rsidRPr="002147EE">
        <w:rPr>
          <w:rFonts w:asciiTheme="majorBidi" w:hAnsiTheme="majorBidi" w:cstheme="majorBidi"/>
          <w:sz w:val="24"/>
          <w:szCs w:val="24"/>
        </w:rPr>
        <w:t>tumors</w:t>
      </w:r>
      <w:r w:rsidR="00217F4A" w:rsidRPr="002147EE">
        <w:rPr>
          <w:rFonts w:asciiTheme="majorBidi" w:hAnsiTheme="majorBidi" w:cstheme="majorBidi"/>
          <w:sz w:val="24"/>
          <w:szCs w:val="24"/>
        </w:rPr>
        <w:t xml:space="preserve">; </w:t>
      </w:r>
      <w:r w:rsidR="00F12CE6">
        <w:rPr>
          <w:rFonts w:asciiTheme="majorBidi" w:hAnsiTheme="majorBidi" w:cstheme="majorBidi"/>
          <w:sz w:val="24"/>
          <w:szCs w:val="24"/>
        </w:rPr>
        <w:t>7</w:t>
      </w:r>
      <w:r w:rsidR="00217F4A" w:rsidRPr="002147EE">
        <w:rPr>
          <w:rFonts w:asciiTheme="majorBidi" w:hAnsiTheme="majorBidi" w:cstheme="majorBidi"/>
          <w:sz w:val="24"/>
          <w:szCs w:val="24"/>
        </w:rPr>
        <w:t xml:space="preserve">) a history of systemic problems, such as uremia, liver cirrhosis, chronic heart </w:t>
      </w:r>
      <w:r w:rsidR="00F12CE6">
        <w:rPr>
          <w:rFonts w:asciiTheme="majorBidi" w:hAnsiTheme="majorBidi" w:cstheme="majorBidi"/>
          <w:sz w:val="24"/>
          <w:szCs w:val="24"/>
        </w:rPr>
        <w:t xml:space="preserve">or </w:t>
      </w:r>
      <w:r w:rsidR="00217F4A" w:rsidRPr="002147EE">
        <w:rPr>
          <w:rFonts w:asciiTheme="majorBidi" w:hAnsiTheme="majorBidi" w:cstheme="majorBidi"/>
          <w:sz w:val="24"/>
          <w:szCs w:val="24"/>
        </w:rPr>
        <w:t xml:space="preserve">lung disease; </w:t>
      </w:r>
      <w:r w:rsidR="00F12CE6">
        <w:rPr>
          <w:rFonts w:asciiTheme="majorBidi" w:hAnsiTheme="majorBidi" w:cstheme="majorBidi"/>
          <w:sz w:val="24"/>
          <w:szCs w:val="24"/>
        </w:rPr>
        <w:t>8</w:t>
      </w:r>
      <w:r w:rsidR="00217F4A" w:rsidRPr="002147EE">
        <w:rPr>
          <w:rFonts w:asciiTheme="majorBidi" w:hAnsiTheme="majorBidi" w:cstheme="majorBidi"/>
          <w:sz w:val="24"/>
          <w:szCs w:val="24"/>
        </w:rPr>
        <w:t xml:space="preserve">) Patients who met the inclusion criteria but had insufficient data on their charts were also omitted. Medical records were used to obtain clinical data and imaging scans for each patient, and an online pathology registry was used to collect microbiology and biochemistry reports. The data from the patients </w:t>
      </w:r>
      <w:r w:rsidR="00F31F98">
        <w:rPr>
          <w:rFonts w:asciiTheme="majorBidi" w:hAnsiTheme="majorBidi" w:cstheme="majorBidi"/>
          <w:sz w:val="24"/>
          <w:szCs w:val="24"/>
        </w:rPr>
        <w:t>were</w:t>
      </w:r>
      <w:r w:rsidR="00217F4A" w:rsidRPr="002147EE">
        <w:rPr>
          <w:rFonts w:asciiTheme="majorBidi" w:hAnsiTheme="majorBidi" w:cstheme="majorBidi"/>
          <w:sz w:val="24"/>
          <w:szCs w:val="24"/>
        </w:rPr>
        <w:t xml:space="preserve"> then retrospectively </w:t>
      </w:r>
      <w:r w:rsidR="00F31F98" w:rsidRPr="002147EE">
        <w:rPr>
          <w:rFonts w:asciiTheme="majorBidi" w:hAnsiTheme="majorBidi" w:cstheme="majorBidi"/>
          <w:sz w:val="24"/>
          <w:szCs w:val="24"/>
        </w:rPr>
        <w:t>analyzed</w:t>
      </w:r>
      <w:r w:rsidR="00217F4A" w:rsidRPr="002147EE">
        <w:rPr>
          <w:rFonts w:asciiTheme="majorBidi" w:hAnsiTheme="majorBidi" w:cstheme="majorBidi"/>
          <w:sz w:val="24"/>
          <w:szCs w:val="24"/>
        </w:rPr>
        <w:t>, and a variety of parameters (detailed in the following sections) were evaluated.</w:t>
      </w:r>
    </w:p>
    <w:p w14:paraId="705C0A26" w14:textId="77777777" w:rsidR="009554CB" w:rsidRPr="002147EE" w:rsidRDefault="009554CB" w:rsidP="002147EE">
      <w:pPr>
        <w:spacing w:line="360" w:lineRule="auto"/>
        <w:jc w:val="both"/>
        <w:rPr>
          <w:rFonts w:asciiTheme="majorBidi" w:hAnsiTheme="majorBidi" w:cstheme="majorBidi"/>
          <w:b/>
          <w:bCs/>
          <w:sz w:val="24"/>
          <w:szCs w:val="24"/>
        </w:rPr>
      </w:pPr>
      <w:r w:rsidRPr="002147EE">
        <w:rPr>
          <w:rFonts w:asciiTheme="majorBidi" w:hAnsiTheme="majorBidi" w:cstheme="majorBidi"/>
          <w:b/>
          <w:bCs/>
          <w:sz w:val="24"/>
          <w:szCs w:val="24"/>
        </w:rPr>
        <w:lastRenderedPageBreak/>
        <w:t xml:space="preserve">External Ventricular Drain </w:t>
      </w:r>
      <w:r w:rsidR="002147EE">
        <w:rPr>
          <w:rFonts w:asciiTheme="majorBidi" w:hAnsiTheme="majorBidi" w:cstheme="majorBidi"/>
          <w:b/>
          <w:bCs/>
          <w:sz w:val="24"/>
          <w:szCs w:val="24"/>
        </w:rPr>
        <w:t>i</w:t>
      </w:r>
      <w:r w:rsidRPr="002147EE">
        <w:rPr>
          <w:rFonts w:asciiTheme="majorBidi" w:hAnsiTheme="majorBidi" w:cstheme="majorBidi"/>
          <w:b/>
          <w:bCs/>
          <w:sz w:val="24"/>
          <w:szCs w:val="24"/>
        </w:rPr>
        <w:t>ndications</w:t>
      </w:r>
    </w:p>
    <w:p w14:paraId="15FE3B0F" w14:textId="77777777" w:rsidR="009554CB" w:rsidRPr="002147EE" w:rsidRDefault="009554CB" w:rsidP="002147EE">
      <w:pPr>
        <w:spacing w:line="360" w:lineRule="auto"/>
        <w:jc w:val="both"/>
        <w:rPr>
          <w:rFonts w:asciiTheme="majorBidi" w:hAnsiTheme="majorBidi" w:cstheme="majorBidi"/>
          <w:sz w:val="24"/>
          <w:szCs w:val="24"/>
        </w:rPr>
      </w:pPr>
      <w:r w:rsidRPr="002147EE">
        <w:rPr>
          <w:rFonts w:asciiTheme="majorBidi" w:hAnsiTheme="majorBidi" w:cstheme="majorBidi"/>
          <w:sz w:val="24"/>
          <w:szCs w:val="24"/>
        </w:rPr>
        <w:t>The EVD was inserted on the clinically preferred side. The clinical indication determined the EVD height, which was opened to drainage when the ICP exceeded a threshold of 20 mm Hg. Clinical manifestations (such as mental status changes, lethargy, somnolence, or pupillary alters) and radiographic data indicating acute hydrocephalus (such as ventriculomegaly, increase in temporal horn size, cisternal effacement, sulcal effacement) were both regarded when deciding whether or not to insert an EVD at the time of admission. Lumbar drains were not employed to divert CSF.</w:t>
      </w:r>
    </w:p>
    <w:p w14:paraId="552C6D9D" w14:textId="77777777" w:rsidR="00921BF0" w:rsidRPr="002147EE" w:rsidRDefault="00921BF0" w:rsidP="002147EE">
      <w:pPr>
        <w:spacing w:line="360" w:lineRule="auto"/>
        <w:jc w:val="both"/>
        <w:rPr>
          <w:rFonts w:asciiTheme="majorBidi" w:hAnsiTheme="majorBidi" w:cstheme="majorBidi"/>
          <w:b/>
          <w:bCs/>
          <w:sz w:val="24"/>
          <w:szCs w:val="24"/>
        </w:rPr>
      </w:pPr>
      <w:r w:rsidRPr="002147EE">
        <w:rPr>
          <w:rFonts w:asciiTheme="majorBidi" w:hAnsiTheme="majorBidi" w:cstheme="majorBidi"/>
          <w:b/>
          <w:bCs/>
          <w:sz w:val="24"/>
          <w:szCs w:val="24"/>
        </w:rPr>
        <w:t>Parameters in Clinical and Laboratory Settings</w:t>
      </w:r>
    </w:p>
    <w:p w14:paraId="2475FE99" w14:textId="77777777" w:rsidR="00E70100" w:rsidRPr="002147EE" w:rsidRDefault="00921BF0" w:rsidP="000106A9">
      <w:pPr>
        <w:spacing w:line="360" w:lineRule="auto"/>
        <w:jc w:val="both"/>
        <w:rPr>
          <w:rFonts w:asciiTheme="majorBidi" w:hAnsiTheme="majorBidi" w:cstheme="majorBidi"/>
          <w:sz w:val="24"/>
          <w:szCs w:val="24"/>
        </w:rPr>
      </w:pPr>
      <w:r w:rsidRPr="002147EE">
        <w:rPr>
          <w:rFonts w:asciiTheme="majorBidi" w:hAnsiTheme="majorBidi" w:cstheme="majorBidi"/>
          <w:sz w:val="24"/>
          <w:szCs w:val="24"/>
        </w:rPr>
        <w:t xml:space="preserve">Patients were divided into two groups: those who were alive (n=20) and those who were dead (n=20). We analyzed demographic data (age, gender), clinical status (level of consciousness, underlying disease, type of primary disease, and history of covid-19 and organ failure), and laboratory data (neutrophil, lymphocyte, and NLR) collected </w:t>
      </w:r>
      <w:r w:rsidR="000434E3">
        <w:rPr>
          <w:rFonts w:asciiTheme="majorBidi" w:hAnsiTheme="majorBidi" w:cstheme="majorBidi"/>
          <w:sz w:val="24"/>
          <w:szCs w:val="24"/>
        </w:rPr>
        <w:t xml:space="preserve">from CSF </w:t>
      </w:r>
      <w:r w:rsidR="000434E3" w:rsidRPr="002147EE">
        <w:rPr>
          <w:rFonts w:asciiTheme="majorBidi" w:hAnsiTheme="majorBidi" w:cstheme="majorBidi"/>
          <w:sz w:val="24"/>
          <w:szCs w:val="24"/>
        </w:rPr>
        <w:t>24 hours after admission</w:t>
      </w:r>
      <w:r w:rsidRPr="002147EE">
        <w:rPr>
          <w:rFonts w:asciiTheme="majorBidi" w:hAnsiTheme="majorBidi" w:cstheme="majorBidi"/>
          <w:sz w:val="24"/>
          <w:szCs w:val="24"/>
        </w:rPr>
        <w:t xml:space="preserve">. An autoanalyzer was used to </w:t>
      </w:r>
      <w:r w:rsidR="000434E3">
        <w:rPr>
          <w:rFonts w:asciiTheme="majorBidi" w:hAnsiTheme="majorBidi" w:cstheme="majorBidi"/>
          <w:sz w:val="24"/>
          <w:szCs w:val="24"/>
        </w:rPr>
        <w:t>measure</w:t>
      </w:r>
      <w:r w:rsidRPr="002147EE">
        <w:rPr>
          <w:rFonts w:asciiTheme="majorBidi" w:hAnsiTheme="majorBidi" w:cstheme="majorBidi"/>
          <w:sz w:val="24"/>
          <w:szCs w:val="24"/>
        </w:rPr>
        <w:t xml:space="preserve"> </w:t>
      </w:r>
      <w:r w:rsidR="000434E3">
        <w:rPr>
          <w:rFonts w:asciiTheme="majorBidi" w:hAnsiTheme="majorBidi" w:cstheme="majorBidi"/>
          <w:sz w:val="24"/>
          <w:szCs w:val="24"/>
        </w:rPr>
        <w:t>t</w:t>
      </w:r>
      <w:r w:rsidR="000434E3" w:rsidRPr="000434E3">
        <w:rPr>
          <w:rFonts w:asciiTheme="majorBidi" w:hAnsiTheme="majorBidi" w:cstheme="majorBidi"/>
          <w:sz w:val="24"/>
          <w:szCs w:val="24"/>
        </w:rPr>
        <w:t>he number of white blood cells, neutrophils, and lymphocytes.</w:t>
      </w:r>
      <w:r w:rsidRPr="002147EE">
        <w:rPr>
          <w:rFonts w:asciiTheme="majorBidi" w:hAnsiTheme="majorBidi" w:cstheme="majorBidi"/>
          <w:sz w:val="24"/>
          <w:szCs w:val="24"/>
        </w:rPr>
        <w:t xml:space="preserve"> Our hospital laboratory equipment </w:t>
      </w:r>
      <w:r w:rsidR="00F31F98" w:rsidRPr="002147EE">
        <w:rPr>
          <w:rFonts w:asciiTheme="majorBidi" w:hAnsiTheme="majorBidi" w:cstheme="majorBidi"/>
          <w:sz w:val="24"/>
          <w:szCs w:val="24"/>
        </w:rPr>
        <w:t>was</w:t>
      </w:r>
      <w:r w:rsidRPr="002147EE">
        <w:rPr>
          <w:rFonts w:asciiTheme="majorBidi" w:hAnsiTheme="majorBidi" w:cstheme="majorBidi"/>
          <w:sz w:val="24"/>
          <w:szCs w:val="24"/>
        </w:rPr>
        <w:t xml:space="preserve"> used to conduct an absolute neutrophil count (ANC) and absolute lymphocyte count (ALC). NLR was then determined using the ANC/ALC methodology.</w:t>
      </w:r>
    </w:p>
    <w:p w14:paraId="5DB4EFE6" w14:textId="77777777" w:rsidR="00E70100" w:rsidRPr="002147EE" w:rsidRDefault="00E70100" w:rsidP="002147EE">
      <w:pPr>
        <w:spacing w:line="360" w:lineRule="auto"/>
        <w:jc w:val="both"/>
        <w:rPr>
          <w:rFonts w:asciiTheme="majorBidi" w:hAnsiTheme="majorBidi" w:cstheme="majorBidi"/>
          <w:b/>
          <w:bCs/>
          <w:sz w:val="24"/>
          <w:szCs w:val="24"/>
        </w:rPr>
      </w:pPr>
      <w:r w:rsidRPr="002147EE">
        <w:rPr>
          <w:rFonts w:asciiTheme="majorBidi" w:hAnsiTheme="majorBidi" w:cstheme="majorBidi"/>
          <w:b/>
          <w:bCs/>
          <w:sz w:val="24"/>
          <w:szCs w:val="24"/>
        </w:rPr>
        <w:t>Statistical analysis</w:t>
      </w:r>
    </w:p>
    <w:p w14:paraId="01642CDD" w14:textId="77777777" w:rsidR="002147EE" w:rsidRPr="002147EE" w:rsidRDefault="00921BF0" w:rsidP="00623FFE">
      <w:pPr>
        <w:spacing w:line="360" w:lineRule="auto"/>
        <w:jc w:val="both"/>
        <w:rPr>
          <w:rFonts w:asciiTheme="majorBidi" w:hAnsiTheme="majorBidi" w:cstheme="majorBidi"/>
          <w:sz w:val="24"/>
          <w:szCs w:val="24"/>
        </w:rPr>
      </w:pPr>
      <w:r w:rsidRPr="002147EE">
        <w:rPr>
          <w:rFonts w:asciiTheme="majorBidi" w:hAnsiTheme="majorBidi" w:cstheme="majorBidi"/>
          <w:sz w:val="24"/>
          <w:szCs w:val="24"/>
        </w:rPr>
        <w:t xml:space="preserve">The demographic data is demonstrated in a table format, with numerical parameters using the mean and standard deviation (SD) and categorical factors using numbers and percentages. The Fisher exact test for proportions, the Student t-test for continuous normally distributed data, and the Mann-Whitney test for non-normally distributed continuous data were used for comparing baseline features in those who had or had not an event of death </w:t>
      </w:r>
      <w:r w:rsidR="00F31F98">
        <w:rPr>
          <w:rFonts w:asciiTheme="majorBidi" w:hAnsiTheme="majorBidi" w:cstheme="majorBidi"/>
          <w:sz w:val="24"/>
          <w:szCs w:val="24"/>
        </w:rPr>
        <w:t>before</w:t>
      </w:r>
      <w:r w:rsidRPr="002147EE">
        <w:rPr>
          <w:rFonts w:asciiTheme="majorBidi" w:hAnsiTheme="majorBidi" w:cstheme="majorBidi"/>
          <w:sz w:val="24"/>
          <w:szCs w:val="24"/>
        </w:rPr>
        <w:t xml:space="preserve"> discharge. To generate </w:t>
      </w:r>
      <w:r w:rsidR="0087281D" w:rsidRPr="002147EE">
        <w:rPr>
          <w:rFonts w:asciiTheme="majorBidi" w:hAnsiTheme="majorBidi" w:cstheme="majorBidi"/>
          <w:sz w:val="24"/>
          <w:szCs w:val="24"/>
        </w:rPr>
        <w:t xml:space="preserve">the clinical significance of </w:t>
      </w:r>
      <w:r w:rsidRPr="002147EE">
        <w:rPr>
          <w:rFonts w:asciiTheme="majorBidi" w:hAnsiTheme="majorBidi" w:cstheme="majorBidi"/>
          <w:sz w:val="24"/>
          <w:szCs w:val="24"/>
        </w:rPr>
        <w:t>an odd ratio (OR)</w:t>
      </w:r>
      <w:r w:rsidR="0087281D" w:rsidRPr="002147EE">
        <w:rPr>
          <w:rFonts w:asciiTheme="majorBidi" w:hAnsiTheme="majorBidi" w:cstheme="majorBidi"/>
          <w:sz w:val="24"/>
          <w:szCs w:val="24"/>
        </w:rPr>
        <w:t xml:space="preserve"> with 95% confidence intervals (CI)</w:t>
      </w:r>
      <w:r w:rsidRPr="002147EE">
        <w:rPr>
          <w:rFonts w:asciiTheme="majorBidi" w:hAnsiTheme="majorBidi" w:cstheme="majorBidi"/>
          <w:sz w:val="24"/>
          <w:szCs w:val="24"/>
        </w:rPr>
        <w:t xml:space="preserve">, outcome factors were examined </w:t>
      </w:r>
      <w:r w:rsidR="0087281D" w:rsidRPr="002147EE">
        <w:rPr>
          <w:rFonts w:asciiTheme="majorBidi" w:hAnsiTheme="majorBidi" w:cstheme="majorBidi"/>
          <w:sz w:val="24"/>
          <w:szCs w:val="24"/>
        </w:rPr>
        <w:t>using adjusted and unadjusted data in</w:t>
      </w:r>
      <w:r w:rsidRPr="002147EE">
        <w:rPr>
          <w:rFonts w:asciiTheme="majorBidi" w:hAnsiTheme="majorBidi" w:cstheme="majorBidi"/>
          <w:sz w:val="24"/>
          <w:szCs w:val="24"/>
        </w:rPr>
        <w:t xml:space="preserve"> simple and multiple logistic regression models. Multiple logistic regression models were employed to examine the relationship between mortality and clinically significant prognostic markers such as age, underlying disease, level of consciousness, and NLR. </w:t>
      </w:r>
      <w:r w:rsidR="002147EE" w:rsidRPr="002147EE">
        <w:rPr>
          <w:rFonts w:asciiTheme="majorBidi" w:hAnsiTheme="majorBidi" w:cstheme="majorBidi"/>
          <w:sz w:val="24"/>
          <w:szCs w:val="24"/>
        </w:rPr>
        <w:t xml:space="preserve">To demonstrate </w:t>
      </w:r>
      <w:r w:rsidR="000434E3" w:rsidRPr="000434E3">
        <w:rPr>
          <w:rFonts w:asciiTheme="majorBidi" w:hAnsiTheme="majorBidi" w:cstheme="majorBidi"/>
          <w:sz w:val="24"/>
          <w:szCs w:val="24"/>
        </w:rPr>
        <w:t xml:space="preserve">the predictive properties of various laboratory measurements </w:t>
      </w:r>
      <w:r w:rsidR="002147EE" w:rsidRPr="002147EE">
        <w:rPr>
          <w:rFonts w:asciiTheme="majorBidi" w:hAnsiTheme="majorBidi" w:cstheme="majorBidi"/>
          <w:sz w:val="24"/>
          <w:szCs w:val="24"/>
        </w:rPr>
        <w:t xml:space="preserve">related to mortality, receiver operating characteristic (ROC) curves were designed. The </w:t>
      </w:r>
      <w:r w:rsidR="004B010A" w:rsidRPr="004B010A">
        <w:rPr>
          <w:rFonts w:asciiTheme="majorBidi" w:hAnsiTheme="majorBidi" w:cstheme="majorBidi"/>
          <w:sz w:val="24"/>
          <w:szCs w:val="24"/>
        </w:rPr>
        <w:t xml:space="preserve">Binomial exact method </w:t>
      </w:r>
      <w:r w:rsidR="00623FFE">
        <w:rPr>
          <w:rFonts w:asciiTheme="majorBidi" w:hAnsiTheme="majorBidi" w:cstheme="majorBidi"/>
          <w:sz w:val="24"/>
          <w:szCs w:val="24"/>
        </w:rPr>
        <w:t>was</w:t>
      </w:r>
      <w:r w:rsidR="004B010A" w:rsidRPr="004B010A">
        <w:rPr>
          <w:rFonts w:asciiTheme="majorBidi" w:hAnsiTheme="majorBidi" w:cstheme="majorBidi"/>
          <w:sz w:val="24"/>
          <w:szCs w:val="24"/>
        </w:rPr>
        <w:t xml:space="preserve"> used </w:t>
      </w:r>
      <w:r w:rsidR="002147EE" w:rsidRPr="002147EE">
        <w:rPr>
          <w:rFonts w:asciiTheme="majorBidi" w:hAnsiTheme="majorBidi" w:cstheme="majorBidi"/>
          <w:sz w:val="24"/>
          <w:szCs w:val="24"/>
        </w:rPr>
        <w:t xml:space="preserve">to investigate the risk of mortality related </w:t>
      </w:r>
      <w:r w:rsidR="00F31F98">
        <w:rPr>
          <w:rFonts w:asciiTheme="majorBidi" w:hAnsiTheme="majorBidi" w:cstheme="majorBidi"/>
          <w:sz w:val="24"/>
          <w:szCs w:val="24"/>
        </w:rPr>
        <w:t>to</w:t>
      </w:r>
      <w:r w:rsidR="002147EE" w:rsidRPr="002147EE">
        <w:rPr>
          <w:rFonts w:asciiTheme="majorBidi" w:hAnsiTheme="majorBidi" w:cstheme="majorBidi"/>
          <w:sz w:val="24"/>
          <w:szCs w:val="24"/>
        </w:rPr>
        <w:t xml:space="preserve"> critical </w:t>
      </w:r>
      <w:r w:rsidR="002147EE" w:rsidRPr="002147EE">
        <w:rPr>
          <w:rFonts w:asciiTheme="majorBidi" w:hAnsiTheme="majorBidi" w:cstheme="majorBidi"/>
          <w:sz w:val="24"/>
          <w:szCs w:val="24"/>
        </w:rPr>
        <w:lastRenderedPageBreak/>
        <w:t>parameters</w:t>
      </w:r>
      <w:r w:rsidR="004B010A">
        <w:rPr>
          <w:rFonts w:asciiTheme="majorBidi" w:hAnsiTheme="majorBidi" w:cstheme="majorBidi"/>
          <w:sz w:val="24"/>
          <w:szCs w:val="24"/>
        </w:rPr>
        <w:t xml:space="preserve"> and </w:t>
      </w:r>
      <w:r w:rsidR="004B010A" w:rsidRPr="004B010A">
        <w:rPr>
          <w:rFonts w:asciiTheme="majorBidi" w:hAnsiTheme="majorBidi" w:cstheme="majorBidi"/>
          <w:sz w:val="24"/>
          <w:szCs w:val="24"/>
        </w:rPr>
        <w:t xml:space="preserve">calculate the </w:t>
      </w:r>
      <w:r w:rsidR="004B010A">
        <w:rPr>
          <w:rFonts w:asciiTheme="majorBidi" w:hAnsiTheme="majorBidi" w:cstheme="majorBidi"/>
          <w:sz w:val="24"/>
          <w:szCs w:val="24"/>
        </w:rPr>
        <w:t>CI</w:t>
      </w:r>
      <w:r w:rsidR="004B010A" w:rsidRPr="004B010A">
        <w:rPr>
          <w:rFonts w:asciiTheme="majorBidi" w:hAnsiTheme="majorBidi" w:cstheme="majorBidi"/>
          <w:sz w:val="24"/>
          <w:szCs w:val="24"/>
        </w:rPr>
        <w:t xml:space="preserve"> for AUC</w:t>
      </w:r>
      <w:r w:rsidR="004B010A">
        <w:rPr>
          <w:rFonts w:asciiTheme="majorBidi" w:hAnsiTheme="majorBidi" w:cstheme="majorBidi"/>
          <w:sz w:val="24"/>
          <w:szCs w:val="24"/>
        </w:rPr>
        <w:t>.</w:t>
      </w:r>
      <w:r w:rsidR="002147EE" w:rsidRPr="002147EE">
        <w:rPr>
          <w:rFonts w:asciiTheme="majorBidi" w:hAnsiTheme="majorBidi" w:cstheme="majorBidi"/>
          <w:sz w:val="24"/>
          <w:szCs w:val="24"/>
        </w:rPr>
        <w:t xml:space="preserve"> </w:t>
      </w:r>
      <w:r w:rsidR="004B010A">
        <w:rPr>
          <w:rFonts w:asciiTheme="majorBidi" w:hAnsiTheme="majorBidi" w:cstheme="majorBidi"/>
          <w:sz w:val="24"/>
          <w:szCs w:val="24"/>
        </w:rPr>
        <w:t>Furthermore,</w:t>
      </w:r>
      <w:r w:rsidR="002147EE" w:rsidRPr="002147EE">
        <w:rPr>
          <w:rFonts w:asciiTheme="majorBidi" w:hAnsiTheme="majorBidi" w:cstheme="majorBidi"/>
          <w:sz w:val="24"/>
          <w:szCs w:val="24"/>
        </w:rPr>
        <w:t xml:space="preserve"> the </w:t>
      </w:r>
      <w:r w:rsidR="004B010A" w:rsidRPr="005871E2">
        <w:rPr>
          <w:rFonts w:ascii="Times New Roman" w:eastAsia="Times New Roman" w:hAnsi="Times New Roman" w:cs="B Nazanin"/>
          <w:bCs/>
          <w:color w:val="000000"/>
          <w:sz w:val="24"/>
          <w:szCs w:val="24"/>
          <w:lang w:bidi="fa-IR"/>
        </w:rPr>
        <w:t>DeLong et a</w:t>
      </w:r>
      <w:r w:rsidR="004B010A">
        <w:rPr>
          <w:rFonts w:ascii="Times New Roman" w:eastAsia="Times New Roman" w:hAnsi="Times New Roman" w:cs="B Nazanin"/>
          <w:bCs/>
          <w:color w:val="000000"/>
          <w:sz w:val="24"/>
          <w:szCs w:val="24"/>
          <w:lang w:bidi="fa-IR"/>
        </w:rPr>
        <w:t xml:space="preserve">l </w:t>
      </w:r>
      <w:r w:rsidR="002147EE" w:rsidRPr="002147EE">
        <w:rPr>
          <w:rFonts w:asciiTheme="majorBidi" w:hAnsiTheme="majorBidi" w:cstheme="majorBidi"/>
          <w:sz w:val="24"/>
          <w:szCs w:val="24"/>
        </w:rPr>
        <w:t>test was employed to determine the statistically significant variations between curves.  p&lt;0.05 was used to determine statistical significance. All statistical analyses were carried out using IBM SPSS V21.0</w:t>
      </w:r>
      <w:r w:rsidR="004B010A">
        <w:rPr>
          <w:rFonts w:asciiTheme="majorBidi" w:hAnsiTheme="majorBidi" w:cstheme="majorBidi"/>
          <w:sz w:val="24"/>
          <w:szCs w:val="24"/>
        </w:rPr>
        <w:t>,</w:t>
      </w:r>
      <w:r w:rsidR="002147EE" w:rsidRPr="002147EE">
        <w:rPr>
          <w:rFonts w:asciiTheme="majorBidi" w:hAnsiTheme="majorBidi" w:cstheme="majorBidi"/>
          <w:sz w:val="24"/>
          <w:szCs w:val="24"/>
        </w:rPr>
        <w:t xml:space="preserve"> </w:t>
      </w:r>
      <w:proofErr w:type="spellStart"/>
      <w:r w:rsidR="004B010A" w:rsidRPr="004B010A">
        <w:rPr>
          <w:rFonts w:asciiTheme="majorBidi" w:hAnsiTheme="majorBidi" w:cstheme="majorBidi"/>
          <w:sz w:val="24"/>
          <w:szCs w:val="24"/>
        </w:rPr>
        <w:t>MedCalc</w:t>
      </w:r>
      <w:proofErr w:type="spellEnd"/>
      <w:r w:rsidR="004B010A" w:rsidRPr="004B010A">
        <w:rPr>
          <w:rFonts w:asciiTheme="majorBidi" w:hAnsiTheme="majorBidi" w:cstheme="majorBidi"/>
          <w:sz w:val="24"/>
          <w:szCs w:val="24"/>
        </w:rPr>
        <w:t xml:space="preserve"> </w:t>
      </w:r>
      <w:r w:rsidR="004B010A">
        <w:rPr>
          <w:rFonts w:asciiTheme="majorBidi" w:hAnsiTheme="majorBidi" w:cs="Times New Roman"/>
          <w:sz w:val="24"/>
          <w:szCs w:val="24"/>
        </w:rPr>
        <w:t xml:space="preserve">version </w:t>
      </w:r>
      <w:r w:rsidR="004B010A" w:rsidRPr="004B010A">
        <w:rPr>
          <w:rFonts w:asciiTheme="majorBidi" w:hAnsiTheme="majorBidi" w:cs="Times New Roman"/>
          <w:sz w:val="24"/>
          <w:szCs w:val="24"/>
          <w:rtl/>
        </w:rPr>
        <w:t>20.026</w:t>
      </w:r>
      <w:r w:rsidR="004B010A">
        <w:rPr>
          <w:rFonts w:asciiTheme="majorBidi" w:hAnsiTheme="majorBidi" w:cs="Times New Roman"/>
          <w:sz w:val="24"/>
          <w:szCs w:val="24"/>
        </w:rPr>
        <w:t xml:space="preserve">, </w:t>
      </w:r>
      <w:r w:rsidR="004B010A">
        <w:rPr>
          <w:rFonts w:asciiTheme="majorBidi" w:hAnsiTheme="majorBidi" w:cstheme="majorBidi"/>
          <w:sz w:val="24"/>
          <w:szCs w:val="24"/>
        </w:rPr>
        <w:t xml:space="preserve">and </w:t>
      </w:r>
      <w:r w:rsidR="002147EE" w:rsidRPr="002147EE">
        <w:rPr>
          <w:rFonts w:asciiTheme="majorBidi" w:hAnsiTheme="majorBidi" w:cstheme="majorBidi"/>
          <w:sz w:val="24"/>
          <w:szCs w:val="24"/>
        </w:rPr>
        <w:t>Graph</w:t>
      </w:r>
      <w:r w:rsidR="00F31F98">
        <w:rPr>
          <w:rFonts w:asciiTheme="majorBidi" w:hAnsiTheme="majorBidi" w:cstheme="majorBidi"/>
          <w:sz w:val="24"/>
          <w:szCs w:val="24"/>
        </w:rPr>
        <w:t>P</w:t>
      </w:r>
      <w:r w:rsidR="002147EE" w:rsidRPr="002147EE">
        <w:rPr>
          <w:rFonts w:asciiTheme="majorBidi" w:hAnsiTheme="majorBidi" w:cstheme="majorBidi"/>
          <w:sz w:val="24"/>
          <w:szCs w:val="24"/>
        </w:rPr>
        <w:t>ad Prism version 9.0.0 software.</w:t>
      </w:r>
    </w:p>
    <w:p w14:paraId="7B19D9BF" w14:textId="77777777" w:rsidR="00E70100" w:rsidRPr="00731E89" w:rsidRDefault="00E70100" w:rsidP="00731E89">
      <w:pPr>
        <w:spacing w:line="360" w:lineRule="auto"/>
        <w:jc w:val="both"/>
        <w:rPr>
          <w:rStyle w:val="fontstyle01"/>
          <w:rFonts w:asciiTheme="majorBidi" w:hAnsiTheme="majorBidi" w:cstheme="majorBidi"/>
          <w:b/>
          <w:bCs/>
        </w:rPr>
      </w:pPr>
      <w:r w:rsidRPr="00731E89">
        <w:rPr>
          <w:rStyle w:val="fontstyle01"/>
          <w:rFonts w:asciiTheme="majorBidi" w:hAnsiTheme="majorBidi" w:cstheme="majorBidi"/>
          <w:b/>
          <w:bCs/>
        </w:rPr>
        <w:t>Result</w:t>
      </w:r>
    </w:p>
    <w:p w14:paraId="29C36ED3" w14:textId="77777777" w:rsidR="00E70100" w:rsidRPr="00731E89" w:rsidRDefault="00127EA7" w:rsidP="001E31B2">
      <w:pPr>
        <w:spacing w:line="360" w:lineRule="auto"/>
        <w:jc w:val="both"/>
        <w:rPr>
          <w:rFonts w:asciiTheme="majorBidi" w:hAnsiTheme="majorBidi" w:cstheme="majorBidi"/>
          <w:sz w:val="24"/>
          <w:szCs w:val="24"/>
        </w:rPr>
      </w:pPr>
      <w:r w:rsidRPr="00731E89">
        <w:rPr>
          <w:rFonts w:asciiTheme="majorBidi" w:hAnsiTheme="majorBidi" w:cstheme="majorBidi"/>
          <w:sz w:val="24"/>
          <w:szCs w:val="24"/>
        </w:rPr>
        <w:t xml:space="preserve">We examined patient database entries from 2020 to 2022. A total of 40 patients with hydrocephalus who were treated surgically with EVD insertion for CSF diversion on admission and met the inclusion criteria were found, for whom follow-up data </w:t>
      </w:r>
      <w:r w:rsidR="006A1D91">
        <w:rPr>
          <w:rFonts w:asciiTheme="majorBidi" w:hAnsiTheme="majorBidi" w:cstheme="majorBidi"/>
          <w:sz w:val="24"/>
          <w:szCs w:val="24"/>
        </w:rPr>
        <w:t>were</w:t>
      </w:r>
      <w:r w:rsidRPr="00731E89">
        <w:rPr>
          <w:rFonts w:asciiTheme="majorBidi" w:hAnsiTheme="majorBidi" w:cstheme="majorBidi"/>
          <w:sz w:val="24"/>
          <w:szCs w:val="24"/>
        </w:rPr>
        <w:t xml:space="preserve"> available. The baseline demographic and clinical characteristics of patients diagnosed with acute symptomatic hydrocephalus are </w:t>
      </w:r>
      <w:proofErr w:type="spellStart"/>
      <w:r w:rsidRPr="00731E89">
        <w:rPr>
          <w:rFonts w:asciiTheme="majorBidi" w:hAnsiTheme="majorBidi" w:cstheme="majorBidi"/>
          <w:sz w:val="24"/>
          <w:szCs w:val="24"/>
        </w:rPr>
        <w:t>summarised</w:t>
      </w:r>
      <w:proofErr w:type="spellEnd"/>
      <w:r w:rsidRPr="00731E89">
        <w:rPr>
          <w:rFonts w:asciiTheme="majorBidi" w:hAnsiTheme="majorBidi" w:cstheme="majorBidi"/>
          <w:sz w:val="24"/>
          <w:szCs w:val="24"/>
        </w:rPr>
        <w:t xml:space="preserve"> in </w:t>
      </w:r>
      <w:r w:rsidRPr="00E71C78">
        <w:rPr>
          <w:rFonts w:asciiTheme="majorBidi" w:hAnsiTheme="majorBidi" w:cstheme="majorBidi"/>
          <w:b/>
          <w:bCs/>
          <w:sz w:val="24"/>
          <w:szCs w:val="24"/>
        </w:rPr>
        <w:t>Table 1</w:t>
      </w:r>
      <w:r w:rsidRPr="00731E89">
        <w:rPr>
          <w:rFonts w:asciiTheme="majorBidi" w:hAnsiTheme="majorBidi" w:cstheme="majorBidi"/>
          <w:sz w:val="24"/>
          <w:szCs w:val="24"/>
        </w:rPr>
        <w:t>. As previously stated, the patients were separated into two groups: dead (n=20) and alive (n=20).</w:t>
      </w:r>
      <w:r w:rsidR="00E70100" w:rsidRPr="00731E89">
        <w:rPr>
          <w:rFonts w:asciiTheme="majorBidi" w:hAnsiTheme="majorBidi" w:cstheme="majorBidi"/>
          <w:sz w:val="24"/>
          <w:szCs w:val="24"/>
        </w:rPr>
        <w:t xml:space="preserve"> All patients were adults, with </w:t>
      </w:r>
      <w:r w:rsidR="001234C3" w:rsidRPr="00731E89">
        <w:rPr>
          <w:rFonts w:asciiTheme="majorBidi" w:hAnsiTheme="majorBidi" w:cstheme="majorBidi"/>
          <w:sz w:val="24"/>
          <w:szCs w:val="24"/>
        </w:rPr>
        <w:t xml:space="preserve">mean </w:t>
      </w:r>
      <w:r w:rsidR="00E70100" w:rsidRPr="00731E89">
        <w:rPr>
          <w:rFonts w:asciiTheme="majorBidi" w:hAnsiTheme="majorBidi" w:cstheme="majorBidi"/>
          <w:sz w:val="24"/>
          <w:szCs w:val="24"/>
        </w:rPr>
        <w:t xml:space="preserve">ages ranging from </w:t>
      </w:r>
      <w:r w:rsidR="009846C5" w:rsidRPr="00731E89">
        <w:rPr>
          <w:rFonts w:asciiTheme="majorBidi" w:hAnsiTheme="majorBidi" w:cstheme="majorBidi"/>
          <w:sz w:val="24"/>
          <w:szCs w:val="24"/>
        </w:rPr>
        <w:t>22</w:t>
      </w:r>
      <w:r w:rsidR="00E70100" w:rsidRPr="00731E89">
        <w:rPr>
          <w:rFonts w:asciiTheme="majorBidi" w:hAnsiTheme="majorBidi" w:cstheme="majorBidi"/>
          <w:sz w:val="24"/>
          <w:szCs w:val="24"/>
        </w:rPr>
        <w:t xml:space="preserve"> to </w:t>
      </w:r>
      <w:r w:rsidR="009846C5" w:rsidRPr="00731E89">
        <w:rPr>
          <w:rFonts w:asciiTheme="majorBidi" w:hAnsiTheme="majorBidi" w:cstheme="majorBidi"/>
          <w:sz w:val="24"/>
          <w:szCs w:val="24"/>
        </w:rPr>
        <w:t>78</w:t>
      </w:r>
      <w:r w:rsidR="00E70100" w:rsidRPr="00731E89">
        <w:rPr>
          <w:rFonts w:asciiTheme="majorBidi" w:hAnsiTheme="majorBidi" w:cstheme="majorBidi"/>
          <w:sz w:val="24"/>
          <w:szCs w:val="24"/>
        </w:rPr>
        <w:t xml:space="preserve"> years (</w:t>
      </w:r>
      <w:r w:rsidR="009846C5" w:rsidRPr="00731E89">
        <w:rPr>
          <w:rFonts w:asciiTheme="majorBidi" w:hAnsiTheme="majorBidi" w:cstheme="majorBidi"/>
          <w:sz w:val="24"/>
          <w:szCs w:val="24"/>
        </w:rPr>
        <w:t>51.68 ± 16.34</w:t>
      </w:r>
      <w:r w:rsidR="00E70100" w:rsidRPr="00731E89">
        <w:rPr>
          <w:rFonts w:asciiTheme="majorBidi" w:hAnsiTheme="majorBidi" w:cstheme="majorBidi"/>
          <w:sz w:val="24"/>
          <w:szCs w:val="24"/>
        </w:rPr>
        <w:t>)</w:t>
      </w:r>
      <w:r w:rsidR="001234C3" w:rsidRPr="00731E89">
        <w:rPr>
          <w:rFonts w:asciiTheme="majorBidi" w:hAnsiTheme="majorBidi" w:cstheme="majorBidi"/>
          <w:sz w:val="24"/>
          <w:szCs w:val="24"/>
        </w:rPr>
        <w:t xml:space="preserve"> (p= 0.038)</w:t>
      </w:r>
      <w:r w:rsidR="00E70100" w:rsidRPr="00731E89">
        <w:rPr>
          <w:rFonts w:asciiTheme="majorBidi" w:hAnsiTheme="majorBidi" w:cstheme="majorBidi"/>
          <w:sz w:val="24"/>
          <w:szCs w:val="24"/>
        </w:rPr>
        <w:t xml:space="preserve"> and there were mor</w:t>
      </w:r>
      <w:r w:rsidR="009846C5" w:rsidRPr="00731E89">
        <w:rPr>
          <w:rFonts w:asciiTheme="majorBidi" w:hAnsiTheme="majorBidi" w:cstheme="majorBidi"/>
          <w:sz w:val="24"/>
          <w:szCs w:val="24"/>
        </w:rPr>
        <w:t>e males in the population (60</w:t>
      </w:r>
      <w:r w:rsidR="00E70100" w:rsidRPr="00731E89">
        <w:rPr>
          <w:rFonts w:asciiTheme="majorBidi" w:hAnsiTheme="majorBidi" w:cstheme="majorBidi"/>
          <w:sz w:val="24"/>
          <w:szCs w:val="24"/>
        </w:rPr>
        <w:t xml:space="preserve">%). median </w:t>
      </w:r>
      <w:r w:rsidR="006A1D91" w:rsidRPr="00731E89">
        <w:rPr>
          <w:rFonts w:asciiTheme="majorBidi" w:hAnsiTheme="majorBidi" w:cstheme="majorBidi"/>
          <w:sz w:val="24"/>
          <w:szCs w:val="24"/>
        </w:rPr>
        <w:t>Glasgow</w:t>
      </w:r>
      <w:r w:rsidR="00E70100" w:rsidRPr="00731E89">
        <w:rPr>
          <w:rFonts w:asciiTheme="majorBidi" w:hAnsiTheme="majorBidi" w:cstheme="majorBidi"/>
          <w:sz w:val="24"/>
          <w:szCs w:val="24"/>
        </w:rPr>
        <w:t xml:space="preserve"> Coma Score (GCS) on admission ranged from </w:t>
      </w:r>
      <w:r w:rsidR="00B670A8" w:rsidRPr="00731E89">
        <w:rPr>
          <w:rFonts w:asciiTheme="majorBidi" w:hAnsiTheme="majorBidi" w:cstheme="majorBidi"/>
          <w:sz w:val="24"/>
          <w:szCs w:val="24"/>
        </w:rPr>
        <w:t>3</w:t>
      </w:r>
      <w:r w:rsidR="00E70100" w:rsidRPr="00731E89">
        <w:rPr>
          <w:rFonts w:asciiTheme="majorBidi" w:hAnsiTheme="majorBidi" w:cstheme="majorBidi"/>
          <w:sz w:val="24"/>
          <w:szCs w:val="24"/>
        </w:rPr>
        <w:t xml:space="preserve"> to 1</w:t>
      </w:r>
      <w:r w:rsidR="00B670A8" w:rsidRPr="00731E89">
        <w:rPr>
          <w:rFonts w:asciiTheme="majorBidi" w:hAnsiTheme="majorBidi" w:cstheme="majorBidi"/>
          <w:sz w:val="24"/>
          <w:szCs w:val="24"/>
        </w:rPr>
        <w:t>3</w:t>
      </w:r>
      <w:r w:rsidR="00E70100" w:rsidRPr="00731E89">
        <w:rPr>
          <w:rFonts w:asciiTheme="majorBidi" w:hAnsiTheme="majorBidi" w:cstheme="majorBidi"/>
          <w:sz w:val="24"/>
          <w:szCs w:val="24"/>
        </w:rPr>
        <w:t xml:space="preserve">, with a mean of </w:t>
      </w:r>
      <w:r w:rsidR="00B670A8" w:rsidRPr="00731E89">
        <w:rPr>
          <w:rFonts w:asciiTheme="majorBidi" w:hAnsiTheme="majorBidi" w:cstheme="majorBidi"/>
          <w:sz w:val="24"/>
          <w:szCs w:val="24"/>
        </w:rPr>
        <w:t xml:space="preserve">7.10 </w:t>
      </w:r>
      <w:r w:rsidR="00E70100" w:rsidRPr="00731E89">
        <w:rPr>
          <w:rFonts w:asciiTheme="majorBidi" w:hAnsiTheme="majorBidi" w:cstheme="majorBidi"/>
          <w:sz w:val="24"/>
          <w:szCs w:val="24"/>
        </w:rPr>
        <w:t>(SD</w:t>
      </w:r>
      <w:r w:rsidR="001234C3" w:rsidRPr="00731E89">
        <w:rPr>
          <w:rFonts w:asciiTheme="majorBidi" w:hAnsiTheme="majorBidi" w:cstheme="majorBidi"/>
          <w:sz w:val="24"/>
          <w:szCs w:val="24"/>
        </w:rPr>
        <w:t>=</w:t>
      </w:r>
      <w:r w:rsidR="00B670A8" w:rsidRPr="00731E89">
        <w:rPr>
          <w:rFonts w:asciiTheme="majorBidi" w:hAnsiTheme="majorBidi" w:cstheme="majorBidi"/>
          <w:sz w:val="24"/>
          <w:szCs w:val="24"/>
        </w:rPr>
        <w:t>2.39</w:t>
      </w:r>
      <w:r w:rsidR="00E70100" w:rsidRPr="00731E89">
        <w:rPr>
          <w:rFonts w:asciiTheme="majorBidi" w:hAnsiTheme="majorBidi" w:cstheme="majorBidi"/>
          <w:sz w:val="24"/>
          <w:szCs w:val="24"/>
        </w:rPr>
        <w:t>)</w:t>
      </w:r>
      <w:r w:rsidR="006A1D91">
        <w:rPr>
          <w:rFonts w:asciiTheme="majorBidi" w:hAnsiTheme="majorBidi" w:cstheme="majorBidi"/>
          <w:sz w:val="24"/>
          <w:szCs w:val="24"/>
        </w:rPr>
        <w:t>,</w:t>
      </w:r>
      <w:r w:rsidR="00E70100" w:rsidRPr="00731E89">
        <w:rPr>
          <w:rStyle w:val="fontstyle01"/>
          <w:rFonts w:asciiTheme="majorBidi" w:hAnsiTheme="majorBidi" w:cstheme="majorBidi"/>
        </w:rPr>
        <w:t xml:space="preserve"> and </w:t>
      </w:r>
      <w:r w:rsidR="00B670A8" w:rsidRPr="00731E89">
        <w:rPr>
          <w:rStyle w:val="fontstyle01"/>
          <w:rFonts w:asciiTheme="majorBidi" w:hAnsiTheme="majorBidi" w:cstheme="majorBidi"/>
        </w:rPr>
        <w:t>24</w:t>
      </w:r>
      <w:r w:rsidR="00E70100" w:rsidRPr="00731E89">
        <w:rPr>
          <w:rFonts w:asciiTheme="majorBidi" w:hAnsiTheme="majorBidi" w:cstheme="majorBidi"/>
          <w:color w:val="000000"/>
          <w:sz w:val="24"/>
          <w:szCs w:val="24"/>
        </w:rPr>
        <w:t xml:space="preserve"> </w:t>
      </w:r>
      <w:r w:rsidR="00E70100" w:rsidRPr="00731E89">
        <w:rPr>
          <w:rStyle w:val="fontstyle01"/>
          <w:rFonts w:asciiTheme="majorBidi" w:hAnsiTheme="majorBidi" w:cstheme="majorBidi"/>
        </w:rPr>
        <w:t>patients (6</w:t>
      </w:r>
      <w:r w:rsidR="00B670A8" w:rsidRPr="00731E89">
        <w:rPr>
          <w:rStyle w:val="fontstyle01"/>
          <w:rFonts w:asciiTheme="majorBidi" w:hAnsiTheme="majorBidi" w:cstheme="majorBidi"/>
        </w:rPr>
        <w:t>0</w:t>
      </w:r>
      <w:r w:rsidR="00E70100" w:rsidRPr="00731E89">
        <w:rPr>
          <w:rStyle w:val="fontstyle01"/>
          <w:rFonts w:asciiTheme="majorBidi" w:hAnsiTheme="majorBidi" w:cstheme="majorBidi"/>
        </w:rPr>
        <w:t xml:space="preserve">%) presented with a GCS &lt;8. </w:t>
      </w:r>
      <w:r w:rsidR="001234C3" w:rsidRPr="00731E89">
        <w:rPr>
          <w:rStyle w:val="fontstyle01"/>
          <w:rFonts w:asciiTheme="majorBidi" w:hAnsiTheme="majorBidi" w:cstheme="majorBidi"/>
        </w:rPr>
        <w:t xml:space="preserve">The </w:t>
      </w:r>
      <w:r w:rsidR="00E70100" w:rsidRPr="00731E89">
        <w:rPr>
          <w:rStyle w:val="fontstyle01"/>
          <w:rFonts w:asciiTheme="majorBidi" w:hAnsiTheme="majorBidi" w:cstheme="majorBidi"/>
        </w:rPr>
        <w:t>median</w:t>
      </w:r>
      <w:r w:rsidR="00E70100" w:rsidRPr="00731E89">
        <w:rPr>
          <w:rFonts w:asciiTheme="majorBidi" w:hAnsiTheme="majorBidi" w:cstheme="majorBidi"/>
          <w:color w:val="000000"/>
          <w:sz w:val="24"/>
          <w:szCs w:val="24"/>
        </w:rPr>
        <w:t xml:space="preserve"> </w:t>
      </w:r>
      <w:r w:rsidR="00E70100" w:rsidRPr="00731E89">
        <w:rPr>
          <w:rStyle w:val="fontstyle01"/>
          <w:rFonts w:asciiTheme="majorBidi" w:hAnsiTheme="majorBidi" w:cstheme="majorBidi"/>
        </w:rPr>
        <w:t>presentation GCS</w:t>
      </w:r>
      <w:r w:rsidR="00B670A8" w:rsidRPr="00731E89">
        <w:rPr>
          <w:rStyle w:val="fontstyle01"/>
          <w:rFonts w:asciiTheme="majorBidi" w:hAnsiTheme="majorBidi" w:cstheme="majorBidi"/>
        </w:rPr>
        <w:t xml:space="preserve"> in </w:t>
      </w:r>
      <w:r w:rsidR="00957DED">
        <w:rPr>
          <w:rStyle w:val="fontstyle01"/>
          <w:rFonts w:asciiTheme="majorBidi" w:hAnsiTheme="majorBidi" w:cstheme="majorBidi"/>
        </w:rPr>
        <w:t>alive</w:t>
      </w:r>
      <w:r w:rsidR="00B670A8" w:rsidRPr="00731E89">
        <w:rPr>
          <w:rStyle w:val="fontstyle01"/>
          <w:rFonts w:asciiTheme="majorBidi" w:hAnsiTheme="majorBidi" w:cstheme="majorBidi"/>
        </w:rPr>
        <w:t xml:space="preserve"> patients</w:t>
      </w:r>
      <w:r w:rsidR="00E70100" w:rsidRPr="00731E89">
        <w:rPr>
          <w:rStyle w:val="fontstyle01"/>
          <w:rFonts w:asciiTheme="majorBidi" w:hAnsiTheme="majorBidi" w:cstheme="majorBidi"/>
        </w:rPr>
        <w:t xml:space="preserve"> </w:t>
      </w:r>
      <w:r w:rsidR="001234C3" w:rsidRPr="00731E89">
        <w:rPr>
          <w:rStyle w:val="fontstyle01"/>
          <w:rFonts w:asciiTheme="majorBidi" w:hAnsiTheme="majorBidi" w:cstheme="majorBidi"/>
        </w:rPr>
        <w:t>was</w:t>
      </w:r>
      <w:r w:rsidR="00E70100" w:rsidRPr="00731E89">
        <w:rPr>
          <w:rStyle w:val="fontstyle01"/>
          <w:rFonts w:asciiTheme="majorBidi" w:hAnsiTheme="majorBidi" w:cstheme="majorBidi"/>
        </w:rPr>
        <w:t xml:space="preserve"> </w:t>
      </w:r>
      <w:r w:rsidR="003A6E4D">
        <w:rPr>
          <w:rStyle w:val="fontstyle01"/>
          <w:rFonts w:asciiTheme="majorBidi" w:hAnsiTheme="majorBidi" w:cstheme="majorBidi"/>
        </w:rPr>
        <w:t>8.8</w:t>
      </w:r>
      <w:r w:rsidR="001234C3" w:rsidRPr="00731E89">
        <w:rPr>
          <w:rStyle w:val="fontstyle01"/>
          <w:rFonts w:asciiTheme="majorBidi" w:hAnsiTheme="majorBidi" w:cstheme="majorBidi"/>
        </w:rPr>
        <w:t>5</w:t>
      </w:r>
      <w:r w:rsidR="00E70100" w:rsidRPr="00731E89">
        <w:rPr>
          <w:rStyle w:val="fontstyle01"/>
          <w:rFonts w:asciiTheme="majorBidi" w:hAnsiTheme="majorBidi" w:cstheme="majorBidi"/>
        </w:rPr>
        <w:t xml:space="preserve"> (</w:t>
      </w:r>
      <w:r w:rsidR="001234C3" w:rsidRPr="00731E89">
        <w:rPr>
          <w:rStyle w:val="fontstyle01"/>
          <w:rFonts w:asciiTheme="majorBidi" w:hAnsiTheme="majorBidi" w:cstheme="majorBidi"/>
        </w:rPr>
        <w:t>6</w:t>
      </w:r>
      <w:r w:rsidR="00E70100" w:rsidRPr="00731E89">
        <w:rPr>
          <w:rStyle w:val="fontstyle01"/>
          <w:rFonts w:asciiTheme="majorBidi" w:hAnsiTheme="majorBidi" w:cstheme="majorBidi"/>
        </w:rPr>
        <w:t>-1</w:t>
      </w:r>
      <w:r w:rsidR="001234C3" w:rsidRPr="00731E89">
        <w:rPr>
          <w:rStyle w:val="fontstyle01"/>
          <w:rFonts w:asciiTheme="majorBidi" w:hAnsiTheme="majorBidi" w:cstheme="majorBidi"/>
        </w:rPr>
        <w:t>3</w:t>
      </w:r>
      <w:r w:rsidR="00E70100" w:rsidRPr="00731E89">
        <w:rPr>
          <w:rStyle w:val="fontstyle01"/>
          <w:rFonts w:asciiTheme="majorBidi" w:hAnsiTheme="majorBidi" w:cstheme="majorBidi"/>
        </w:rPr>
        <w:t xml:space="preserve">) in comparison to </w:t>
      </w:r>
      <w:r w:rsidR="001234C3" w:rsidRPr="00731E89">
        <w:rPr>
          <w:rStyle w:val="fontstyle01"/>
          <w:rFonts w:asciiTheme="majorBidi" w:hAnsiTheme="majorBidi" w:cstheme="majorBidi"/>
        </w:rPr>
        <w:t>5.35</w:t>
      </w:r>
      <w:r w:rsidR="00E70100" w:rsidRPr="00731E89">
        <w:rPr>
          <w:rStyle w:val="fontstyle01"/>
          <w:rFonts w:asciiTheme="majorBidi" w:hAnsiTheme="majorBidi" w:cstheme="majorBidi"/>
        </w:rPr>
        <w:t xml:space="preserve"> (</w:t>
      </w:r>
      <w:r w:rsidR="001234C3" w:rsidRPr="00731E89">
        <w:rPr>
          <w:rStyle w:val="fontstyle01"/>
          <w:rFonts w:asciiTheme="majorBidi" w:hAnsiTheme="majorBidi" w:cstheme="majorBidi"/>
        </w:rPr>
        <w:t>3</w:t>
      </w:r>
      <w:r w:rsidR="00E70100" w:rsidRPr="00731E89">
        <w:rPr>
          <w:rStyle w:val="fontstyle01"/>
          <w:rFonts w:asciiTheme="majorBidi" w:hAnsiTheme="majorBidi" w:cstheme="majorBidi"/>
        </w:rPr>
        <w:t>-</w:t>
      </w:r>
      <w:r w:rsidR="001234C3" w:rsidRPr="00731E89">
        <w:rPr>
          <w:rStyle w:val="fontstyle01"/>
          <w:rFonts w:asciiTheme="majorBidi" w:hAnsiTheme="majorBidi" w:cstheme="majorBidi"/>
        </w:rPr>
        <w:t>8</w:t>
      </w:r>
      <w:r w:rsidR="00E70100" w:rsidRPr="00731E89">
        <w:rPr>
          <w:rStyle w:val="fontstyle01"/>
          <w:rFonts w:asciiTheme="majorBidi" w:hAnsiTheme="majorBidi" w:cstheme="majorBidi"/>
        </w:rPr>
        <w:t xml:space="preserve">) in </w:t>
      </w:r>
      <w:r w:rsidR="001234C3" w:rsidRPr="00731E89">
        <w:rPr>
          <w:rStyle w:val="fontstyle01"/>
          <w:rFonts w:asciiTheme="majorBidi" w:hAnsiTheme="majorBidi" w:cstheme="majorBidi"/>
        </w:rPr>
        <w:t xml:space="preserve">dead </w:t>
      </w:r>
      <w:r w:rsidR="00E70100" w:rsidRPr="00731E89">
        <w:rPr>
          <w:rStyle w:val="fontstyle01"/>
          <w:rFonts w:asciiTheme="majorBidi" w:hAnsiTheme="majorBidi" w:cstheme="majorBidi"/>
        </w:rPr>
        <w:t>patient</w:t>
      </w:r>
      <w:r w:rsidR="006A1D91">
        <w:rPr>
          <w:rStyle w:val="fontstyle01"/>
          <w:rFonts w:asciiTheme="majorBidi" w:hAnsiTheme="majorBidi" w:cstheme="majorBidi"/>
        </w:rPr>
        <w:t>s</w:t>
      </w:r>
      <w:r w:rsidR="00E70100" w:rsidRPr="00731E89">
        <w:rPr>
          <w:rStyle w:val="fontstyle01"/>
          <w:rFonts w:asciiTheme="majorBidi" w:hAnsiTheme="majorBidi" w:cstheme="majorBidi"/>
        </w:rPr>
        <w:t xml:space="preserve"> (p=&lt;0.001). </w:t>
      </w:r>
      <w:r w:rsidR="006A1D91">
        <w:rPr>
          <w:rStyle w:val="fontstyle01"/>
          <w:rFonts w:asciiTheme="majorBidi" w:hAnsiTheme="majorBidi" w:cstheme="majorBidi"/>
        </w:rPr>
        <w:t xml:space="preserve">The </w:t>
      </w:r>
      <w:r w:rsidR="006A1D91">
        <w:rPr>
          <w:rFonts w:asciiTheme="majorBidi" w:hAnsiTheme="majorBidi" w:cstheme="majorBidi"/>
          <w:sz w:val="24"/>
          <w:szCs w:val="24"/>
        </w:rPr>
        <w:t>m</w:t>
      </w:r>
      <w:r w:rsidR="00E70100" w:rsidRPr="00731E89">
        <w:rPr>
          <w:rFonts w:asciiTheme="majorBidi" w:hAnsiTheme="majorBidi" w:cstheme="majorBidi"/>
          <w:sz w:val="24"/>
          <w:szCs w:val="24"/>
        </w:rPr>
        <w:t>edian duration of ICU admission was 6.5 days and that of overall hospital stay was 1</w:t>
      </w:r>
      <w:r w:rsidR="001234C3" w:rsidRPr="00731E89">
        <w:rPr>
          <w:rFonts w:asciiTheme="majorBidi" w:hAnsiTheme="majorBidi" w:cstheme="majorBidi"/>
          <w:sz w:val="24"/>
          <w:szCs w:val="24"/>
        </w:rPr>
        <w:t>4</w:t>
      </w:r>
      <w:r w:rsidR="00E70100" w:rsidRPr="00731E89">
        <w:rPr>
          <w:rFonts w:asciiTheme="majorBidi" w:hAnsiTheme="majorBidi" w:cstheme="majorBidi"/>
          <w:sz w:val="24"/>
          <w:szCs w:val="24"/>
        </w:rPr>
        <w:t xml:space="preserve"> days, and days with an EVD were not different between </w:t>
      </w:r>
      <w:r w:rsidR="001234C3" w:rsidRPr="00731E89">
        <w:rPr>
          <w:rFonts w:asciiTheme="majorBidi" w:hAnsiTheme="majorBidi" w:cstheme="majorBidi"/>
          <w:sz w:val="24"/>
          <w:szCs w:val="24"/>
        </w:rPr>
        <w:t>groups</w:t>
      </w:r>
      <w:r w:rsidR="00E70100" w:rsidRPr="00731E89">
        <w:rPr>
          <w:rFonts w:asciiTheme="majorBidi" w:hAnsiTheme="majorBidi" w:cstheme="majorBidi"/>
          <w:sz w:val="24"/>
          <w:szCs w:val="24"/>
        </w:rPr>
        <w:t xml:space="preserve">. Overall, mortality was </w:t>
      </w:r>
      <w:r w:rsidR="001234C3" w:rsidRPr="00731E89">
        <w:rPr>
          <w:rFonts w:asciiTheme="majorBidi" w:hAnsiTheme="majorBidi" w:cstheme="majorBidi"/>
          <w:sz w:val="24"/>
          <w:szCs w:val="24"/>
        </w:rPr>
        <w:t>20 from 40</w:t>
      </w:r>
      <w:r w:rsidR="00E70100" w:rsidRPr="00731E89">
        <w:rPr>
          <w:rFonts w:asciiTheme="majorBidi" w:hAnsiTheme="majorBidi" w:cstheme="majorBidi"/>
          <w:sz w:val="24"/>
          <w:szCs w:val="24"/>
        </w:rPr>
        <w:t xml:space="preserve"> cases (</w:t>
      </w:r>
      <w:r w:rsidR="001234C3" w:rsidRPr="00731E89">
        <w:rPr>
          <w:rFonts w:asciiTheme="majorBidi" w:hAnsiTheme="majorBidi" w:cstheme="majorBidi"/>
          <w:sz w:val="24"/>
          <w:szCs w:val="24"/>
        </w:rPr>
        <w:t>50</w:t>
      </w:r>
      <w:r w:rsidR="00E70100" w:rsidRPr="00731E89">
        <w:rPr>
          <w:rFonts w:asciiTheme="majorBidi" w:hAnsiTheme="majorBidi" w:cstheme="majorBidi"/>
          <w:sz w:val="24"/>
          <w:szCs w:val="24"/>
        </w:rPr>
        <w:t>%). More than half of the patients had Intracranial hemorrhage (</w:t>
      </w:r>
      <w:r w:rsidR="001234C3" w:rsidRPr="00731E89">
        <w:rPr>
          <w:rFonts w:asciiTheme="majorBidi" w:hAnsiTheme="majorBidi" w:cstheme="majorBidi"/>
          <w:sz w:val="24"/>
          <w:szCs w:val="24"/>
        </w:rPr>
        <w:t>55</w:t>
      </w:r>
      <w:r w:rsidR="00E70100" w:rsidRPr="00731E89">
        <w:rPr>
          <w:rFonts w:asciiTheme="majorBidi" w:hAnsiTheme="majorBidi" w:cstheme="majorBidi"/>
          <w:sz w:val="24"/>
          <w:szCs w:val="24"/>
        </w:rPr>
        <w:t>%), whereas about a fifth had</w:t>
      </w:r>
      <w:r w:rsidR="006A1D91">
        <w:rPr>
          <w:rFonts w:asciiTheme="majorBidi" w:hAnsiTheme="majorBidi" w:cstheme="majorBidi"/>
          <w:sz w:val="24"/>
          <w:szCs w:val="24"/>
        </w:rPr>
        <w:t xml:space="preserve"> no</w:t>
      </w:r>
      <w:r w:rsidR="00E70100" w:rsidRPr="00731E89">
        <w:rPr>
          <w:rFonts w:asciiTheme="majorBidi" w:hAnsiTheme="majorBidi" w:cstheme="majorBidi"/>
          <w:sz w:val="24"/>
          <w:szCs w:val="24"/>
        </w:rPr>
        <w:t xml:space="preserve"> history of covid-19 </w:t>
      </w:r>
      <w:r w:rsidR="001234C3" w:rsidRPr="00731E89">
        <w:rPr>
          <w:rFonts w:asciiTheme="majorBidi" w:hAnsiTheme="majorBidi" w:cstheme="majorBidi"/>
          <w:sz w:val="24"/>
          <w:szCs w:val="24"/>
        </w:rPr>
        <w:t>or</w:t>
      </w:r>
      <w:r w:rsidR="00E70100" w:rsidRPr="00731E89">
        <w:rPr>
          <w:rFonts w:asciiTheme="majorBidi" w:hAnsiTheme="majorBidi" w:cstheme="majorBidi"/>
          <w:sz w:val="24"/>
          <w:szCs w:val="24"/>
        </w:rPr>
        <w:t xml:space="preserve"> organ failure and underl</w:t>
      </w:r>
      <w:r w:rsidR="006A1D91">
        <w:rPr>
          <w:rFonts w:asciiTheme="majorBidi" w:hAnsiTheme="majorBidi" w:cstheme="majorBidi"/>
          <w:sz w:val="24"/>
          <w:szCs w:val="24"/>
        </w:rPr>
        <w:t>y</w:t>
      </w:r>
      <w:r w:rsidR="00E70100" w:rsidRPr="00731E89">
        <w:rPr>
          <w:rFonts w:asciiTheme="majorBidi" w:hAnsiTheme="majorBidi" w:cstheme="majorBidi"/>
          <w:sz w:val="24"/>
          <w:szCs w:val="24"/>
        </w:rPr>
        <w:t>ing disease (</w:t>
      </w:r>
      <w:r w:rsidR="001234C3" w:rsidRPr="00731E89">
        <w:rPr>
          <w:rFonts w:asciiTheme="majorBidi" w:hAnsiTheme="majorBidi" w:cstheme="majorBidi"/>
          <w:sz w:val="24"/>
          <w:szCs w:val="24"/>
        </w:rPr>
        <w:t>82.5</w:t>
      </w:r>
      <w:r w:rsidR="00E70100" w:rsidRPr="00731E89">
        <w:rPr>
          <w:rFonts w:asciiTheme="majorBidi" w:hAnsiTheme="majorBidi" w:cstheme="majorBidi"/>
          <w:sz w:val="24"/>
          <w:szCs w:val="24"/>
        </w:rPr>
        <w:t xml:space="preserve">% and </w:t>
      </w:r>
      <w:r w:rsidR="001234C3" w:rsidRPr="00731E89">
        <w:rPr>
          <w:rFonts w:asciiTheme="majorBidi" w:hAnsiTheme="majorBidi" w:cstheme="majorBidi"/>
          <w:sz w:val="24"/>
          <w:szCs w:val="24"/>
        </w:rPr>
        <w:t>80</w:t>
      </w:r>
      <w:r w:rsidR="00E70100" w:rsidRPr="00731E89">
        <w:rPr>
          <w:rFonts w:asciiTheme="majorBidi" w:hAnsiTheme="majorBidi" w:cstheme="majorBidi"/>
          <w:sz w:val="24"/>
          <w:szCs w:val="24"/>
        </w:rPr>
        <w:t xml:space="preserve">%, respectively). </w:t>
      </w:r>
      <w:r w:rsidR="00E70100" w:rsidRPr="00731E89">
        <w:rPr>
          <w:rStyle w:val="fontstyle01"/>
          <w:rFonts w:asciiTheme="majorBidi" w:hAnsiTheme="majorBidi" w:cstheme="majorBidi"/>
          <w:color w:val="131413"/>
        </w:rPr>
        <w:t xml:space="preserve">The mean NLR in our entire study was </w:t>
      </w:r>
      <w:r w:rsidR="001234C3" w:rsidRPr="00731E89">
        <w:rPr>
          <w:rFonts w:asciiTheme="majorBidi" w:hAnsiTheme="majorBidi" w:cstheme="majorBidi"/>
          <w:sz w:val="24"/>
          <w:szCs w:val="24"/>
        </w:rPr>
        <w:t>6.77 ± 5.55</w:t>
      </w:r>
      <w:r w:rsidR="00E70100" w:rsidRPr="00731E89">
        <w:rPr>
          <w:rFonts w:asciiTheme="majorBidi" w:hAnsiTheme="majorBidi" w:cstheme="majorBidi"/>
          <w:sz w:val="24"/>
          <w:szCs w:val="24"/>
        </w:rPr>
        <w:t xml:space="preserve">. </w:t>
      </w:r>
      <w:r w:rsidR="001E31B2">
        <w:rPr>
          <w:rFonts w:asciiTheme="majorBidi" w:hAnsiTheme="majorBidi" w:cstheme="majorBidi"/>
          <w:sz w:val="24"/>
          <w:szCs w:val="24"/>
        </w:rPr>
        <w:t>Patients</w:t>
      </w:r>
      <w:r w:rsidR="001E31B2" w:rsidRPr="001E31B2">
        <w:rPr>
          <w:rFonts w:asciiTheme="majorBidi" w:hAnsiTheme="majorBidi" w:cstheme="majorBidi"/>
          <w:sz w:val="24"/>
          <w:szCs w:val="24"/>
        </w:rPr>
        <w:t xml:space="preserve"> who died showed greater NLRs than those who were alive, with median NLRs of 8.49 vs. 5.05, respectively </w:t>
      </w:r>
      <w:r w:rsidR="00D74218" w:rsidRPr="00731E89">
        <w:rPr>
          <w:rFonts w:asciiTheme="majorBidi" w:hAnsiTheme="majorBidi" w:cstheme="majorBidi"/>
          <w:sz w:val="24"/>
          <w:szCs w:val="24"/>
        </w:rPr>
        <w:t>(p= 0.027)</w:t>
      </w:r>
      <w:r w:rsidR="00E70100" w:rsidRPr="00731E89">
        <w:rPr>
          <w:rFonts w:asciiTheme="majorBidi" w:hAnsiTheme="majorBidi" w:cstheme="majorBidi"/>
          <w:sz w:val="24"/>
          <w:szCs w:val="24"/>
        </w:rPr>
        <w:t xml:space="preserve">. </w:t>
      </w:r>
    </w:p>
    <w:p w14:paraId="497F4C06" w14:textId="77777777" w:rsidR="00E70100" w:rsidRPr="00731E89" w:rsidRDefault="00E70100" w:rsidP="00731E89">
      <w:pPr>
        <w:spacing w:line="360" w:lineRule="auto"/>
        <w:jc w:val="both"/>
        <w:rPr>
          <w:rFonts w:asciiTheme="majorBidi" w:hAnsiTheme="majorBidi" w:cstheme="majorBidi"/>
          <w:b/>
          <w:bCs/>
          <w:sz w:val="24"/>
          <w:szCs w:val="24"/>
        </w:rPr>
      </w:pPr>
      <w:r w:rsidRPr="00731E89">
        <w:rPr>
          <w:rFonts w:asciiTheme="majorBidi" w:hAnsiTheme="majorBidi" w:cstheme="majorBidi"/>
          <w:b/>
          <w:bCs/>
          <w:sz w:val="24"/>
          <w:szCs w:val="24"/>
        </w:rPr>
        <w:t>ROC Curves</w:t>
      </w:r>
    </w:p>
    <w:p w14:paraId="339464F0" w14:textId="77777777" w:rsidR="00E70100" w:rsidRPr="00731E89" w:rsidRDefault="001E31B2" w:rsidP="009F7E06">
      <w:pPr>
        <w:spacing w:line="360" w:lineRule="auto"/>
        <w:jc w:val="both"/>
        <w:rPr>
          <w:rFonts w:asciiTheme="majorBidi" w:hAnsiTheme="majorBidi" w:cstheme="majorBidi"/>
          <w:sz w:val="24"/>
          <w:szCs w:val="24"/>
        </w:rPr>
      </w:pPr>
      <w:r w:rsidRPr="001E31B2">
        <w:rPr>
          <w:rFonts w:asciiTheme="majorBidi" w:hAnsiTheme="majorBidi" w:cstheme="majorBidi"/>
          <w:sz w:val="24"/>
          <w:szCs w:val="24"/>
        </w:rPr>
        <w:t xml:space="preserve">To assess the predictive </w:t>
      </w:r>
      <w:r>
        <w:rPr>
          <w:rFonts w:asciiTheme="majorBidi" w:hAnsiTheme="majorBidi" w:cstheme="majorBidi"/>
          <w:sz w:val="24"/>
          <w:szCs w:val="24"/>
        </w:rPr>
        <w:t>potential</w:t>
      </w:r>
      <w:r w:rsidRPr="001E31B2">
        <w:rPr>
          <w:rFonts w:asciiTheme="majorBidi" w:hAnsiTheme="majorBidi" w:cstheme="majorBidi"/>
          <w:sz w:val="24"/>
          <w:szCs w:val="24"/>
        </w:rPr>
        <w:t xml:space="preserve"> of the selected </w:t>
      </w:r>
      <w:r>
        <w:rPr>
          <w:rFonts w:asciiTheme="majorBidi" w:hAnsiTheme="majorBidi" w:cstheme="majorBidi"/>
          <w:sz w:val="24"/>
          <w:szCs w:val="24"/>
        </w:rPr>
        <w:t xml:space="preserve">indicators, ROC curves were provided. </w:t>
      </w:r>
      <w:r w:rsidR="00127EA7" w:rsidRPr="00731E89">
        <w:rPr>
          <w:rFonts w:asciiTheme="majorBidi" w:hAnsiTheme="majorBidi" w:cstheme="majorBidi"/>
          <w:sz w:val="24"/>
          <w:szCs w:val="24"/>
        </w:rPr>
        <w:t xml:space="preserve">Actual NLR results </w:t>
      </w:r>
      <w:r w:rsidR="006A1D91">
        <w:rPr>
          <w:rFonts w:asciiTheme="majorBidi" w:hAnsiTheme="majorBidi" w:cstheme="majorBidi"/>
          <w:sz w:val="24"/>
          <w:szCs w:val="24"/>
        </w:rPr>
        <w:t>on</w:t>
      </w:r>
      <w:r w:rsidR="00127EA7" w:rsidRPr="00731E89">
        <w:rPr>
          <w:rFonts w:asciiTheme="majorBidi" w:hAnsiTheme="majorBidi" w:cstheme="majorBidi"/>
          <w:sz w:val="24"/>
          <w:szCs w:val="24"/>
        </w:rPr>
        <w:t xml:space="preserve"> the </w:t>
      </w:r>
      <w:r w:rsidRPr="001E31B2">
        <w:rPr>
          <w:rFonts w:asciiTheme="majorBidi" w:hAnsiTheme="majorBidi" w:cstheme="majorBidi"/>
          <w:sz w:val="24"/>
          <w:szCs w:val="24"/>
        </w:rPr>
        <w:t xml:space="preserve">value of markers </w:t>
      </w:r>
      <w:r w:rsidR="00127EA7" w:rsidRPr="00731E89">
        <w:rPr>
          <w:rFonts w:asciiTheme="majorBidi" w:hAnsiTheme="majorBidi" w:cstheme="majorBidi"/>
          <w:sz w:val="24"/>
          <w:szCs w:val="24"/>
        </w:rPr>
        <w:t xml:space="preserve">on admission for hydrocephalus indicated an appropriate area under the curve </w:t>
      </w:r>
      <w:r w:rsidR="00E70100" w:rsidRPr="00731E89">
        <w:rPr>
          <w:rFonts w:asciiTheme="majorBidi" w:hAnsiTheme="majorBidi" w:cstheme="majorBidi"/>
          <w:sz w:val="24"/>
          <w:szCs w:val="24"/>
        </w:rPr>
        <w:t xml:space="preserve">(AUC </w:t>
      </w:r>
      <w:r w:rsidR="00D74218" w:rsidRPr="00731E89">
        <w:rPr>
          <w:rFonts w:asciiTheme="majorBidi" w:hAnsiTheme="majorBidi" w:cstheme="majorBidi"/>
          <w:sz w:val="24"/>
          <w:szCs w:val="24"/>
        </w:rPr>
        <w:t>0.702</w:t>
      </w:r>
      <w:r w:rsidR="00E70100" w:rsidRPr="00731E89">
        <w:rPr>
          <w:rFonts w:asciiTheme="majorBidi" w:hAnsiTheme="majorBidi" w:cstheme="majorBidi"/>
          <w:sz w:val="24"/>
          <w:szCs w:val="24"/>
        </w:rPr>
        <w:t xml:space="preserve">, 95% CI: </w:t>
      </w:r>
      <w:r w:rsidR="00D74218" w:rsidRPr="00731E89">
        <w:rPr>
          <w:rFonts w:asciiTheme="majorBidi" w:hAnsiTheme="majorBidi" w:cstheme="majorBidi"/>
          <w:sz w:val="24"/>
          <w:szCs w:val="24"/>
        </w:rPr>
        <w:t>0.537 to 0.836</w:t>
      </w:r>
      <w:r w:rsidR="00E70100" w:rsidRPr="00731E89">
        <w:rPr>
          <w:rFonts w:asciiTheme="majorBidi" w:hAnsiTheme="majorBidi" w:cstheme="majorBidi"/>
          <w:sz w:val="24"/>
          <w:szCs w:val="24"/>
        </w:rPr>
        <w:t xml:space="preserve">; P </w:t>
      </w:r>
      <w:r w:rsidR="00D74218" w:rsidRPr="00731E89">
        <w:rPr>
          <w:rFonts w:asciiTheme="majorBidi" w:hAnsiTheme="majorBidi" w:cstheme="majorBidi"/>
          <w:sz w:val="24"/>
          <w:szCs w:val="24"/>
        </w:rPr>
        <w:t>= 0.0171</w:t>
      </w:r>
      <w:r w:rsidR="00E70100" w:rsidRPr="00731E89">
        <w:rPr>
          <w:rFonts w:asciiTheme="majorBidi" w:hAnsiTheme="majorBidi" w:cstheme="majorBidi"/>
          <w:sz w:val="24"/>
          <w:szCs w:val="24"/>
        </w:rPr>
        <w:t>) (</w:t>
      </w:r>
      <w:r w:rsidR="00E70100" w:rsidRPr="00E71C78">
        <w:rPr>
          <w:rFonts w:asciiTheme="majorBidi" w:hAnsiTheme="majorBidi" w:cstheme="majorBidi"/>
          <w:b/>
          <w:bCs/>
          <w:sz w:val="24"/>
          <w:szCs w:val="24"/>
        </w:rPr>
        <w:t>Figure 1</w:t>
      </w:r>
      <w:r w:rsidR="00E70100" w:rsidRPr="00731E89">
        <w:rPr>
          <w:rFonts w:asciiTheme="majorBidi" w:hAnsiTheme="majorBidi" w:cstheme="majorBidi"/>
          <w:sz w:val="24"/>
          <w:szCs w:val="24"/>
        </w:rPr>
        <w:t xml:space="preserve">). </w:t>
      </w:r>
      <w:r w:rsidR="00127EA7" w:rsidRPr="00731E89">
        <w:rPr>
          <w:rFonts w:asciiTheme="majorBidi" w:hAnsiTheme="majorBidi" w:cstheme="majorBidi"/>
          <w:sz w:val="24"/>
          <w:szCs w:val="24"/>
        </w:rPr>
        <w:t xml:space="preserve">The </w:t>
      </w:r>
      <w:r>
        <w:rPr>
          <w:rFonts w:asciiTheme="majorBidi" w:hAnsiTheme="majorBidi" w:cstheme="majorBidi"/>
          <w:sz w:val="24"/>
          <w:szCs w:val="24"/>
        </w:rPr>
        <w:t>optimal</w:t>
      </w:r>
      <w:r w:rsidR="00127EA7" w:rsidRPr="00731E89">
        <w:rPr>
          <w:rFonts w:asciiTheme="majorBidi" w:hAnsiTheme="majorBidi" w:cstheme="majorBidi"/>
          <w:sz w:val="24"/>
          <w:szCs w:val="24"/>
        </w:rPr>
        <w:t xml:space="preserve"> NLR threshold value for predicting mortality rate was </w:t>
      </w:r>
      <w:r w:rsidR="003A6E4D">
        <w:rPr>
          <w:rFonts w:asciiTheme="majorBidi" w:hAnsiTheme="majorBidi" w:cstheme="majorBidi"/>
          <w:sz w:val="24"/>
          <w:szCs w:val="24"/>
        </w:rPr>
        <w:t>8.88</w:t>
      </w:r>
      <w:r w:rsidR="00127EA7" w:rsidRPr="00731E89">
        <w:rPr>
          <w:rFonts w:asciiTheme="majorBidi" w:hAnsiTheme="majorBidi" w:cstheme="majorBidi"/>
          <w:sz w:val="24"/>
          <w:szCs w:val="24"/>
        </w:rPr>
        <w:t xml:space="preserve"> </w:t>
      </w:r>
      <w:r w:rsidR="00E70100" w:rsidRPr="00731E89">
        <w:rPr>
          <w:rFonts w:asciiTheme="majorBidi" w:hAnsiTheme="majorBidi" w:cstheme="majorBidi"/>
          <w:sz w:val="24"/>
          <w:szCs w:val="24"/>
        </w:rPr>
        <w:t xml:space="preserve">with a sensitivity and specificity of </w:t>
      </w:r>
      <w:r w:rsidR="00D74218" w:rsidRPr="00731E89">
        <w:rPr>
          <w:rFonts w:asciiTheme="majorBidi" w:hAnsiTheme="majorBidi" w:cstheme="majorBidi"/>
          <w:sz w:val="24"/>
          <w:szCs w:val="24"/>
        </w:rPr>
        <w:t>40</w:t>
      </w:r>
      <w:r w:rsidR="00E70100" w:rsidRPr="00731E89">
        <w:rPr>
          <w:rFonts w:asciiTheme="majorBidi" w:hAnsiTheme="majorBidi" w:cstheme="majorBidi"/>
          <w:sz w:val="24"/>
          <w:szCs w:val="24"/>
        </w:rPr>
        <w:t xml:space="preserve">% and </w:t>
      </w:r>
      <w:r w:rsidR="00D74218" w:rsidRPr="00731E89">
        <w:rPr>
          <w:rFonts w:asciiTheme="majorBidi" w:hAnsiTheme="majorBidi" w:cstheme="majorBidi"/>
          <w:sz w:val="24"/>
          <w:szCs w:val="24"/>
        </w:rPr>
        <w:t>100</w:t>
      </w:r>
      <w:r w:rsidR="00E70100" w:rsidRPr="00731E89">
        <w:rPr>
          <w:rFonts w:asciiTheme="majorBidi" w:hAnsiTheme="majorBidi" w:cstheme="majorBidi"/>
          <w:sz w:val="24"/>
          <w:szCs w:val="24"/>
        </w:rPr>
        <w:t xml:space="preserve">%, respectively. In addition, the actual values of </w:t>
      </w:r>
      <w:r w:rsidR="00F23C0B" w:rsidRPr="00731E89">
        <w:rPr>
          <w:rFonts w:asciiTheme="majorBidi" w:hAnsiTheme="majorBidi" w:cstheme="majorBidi"/>
          <w:sz w:val="24"/>
          <w:szCs w:val="24"/>
        </w:rPr>
        <w:t>underl</w:t>
      </w:r>
      <w:r w:rsidR="006A1D91">
        <w:rPr>
          <w:rFonts w:asciiTheme="majorBidi" w:hAnsiTheme="majorBidi" w:cstheme="majorBidi"/>
          <w:sz w:val="24"/>
          <w:szCs w:val="24"/>
        </w:rPr>
        <w:t>y</w:t>
      </w:r>
      <w:r w:rsidR="00F23C0B" w:rsidRPr="00731E89">
        <w:rPr>
          <w:rFonts w:asciiTheme="majorBidi" w:hAnsiTheme="majorBidi" w:cstheme="majorBidi"/>
          <w:sz w:val="24"/>
          <w:szCs w:val="24"/>
        </w:rPr>
        <w:t xml:space="preserve">ing disease (AUC 0.650; 95% CI: 0.483 to 0.794; p= 0.0126), </w:t>
      </w:r>
      <w:r w:rsidR="00E70100" w:rsidRPr="00731E89">
        <w:rPr>
          <w:rFonts w:asciiTheme="majorBidi" w:hAnsiTheme="majorBidi" w:cstheme="majorBidi"/>
          <w:sz w:val="24"/>
          <w:szCs w:val="24"/>
        </w:rPr>
        <w:t xml:space="preserve">consciousness level (AUC </w:t>
      </w:r>
      <w:r w:rsidR="00D74218" w:rsidRPr="00731E89">
        <w:rPr>
          <w:rFonts w:asciiTheme="majorBidi" w:hAnsiTheme="majorBidi" w:cstheme="majorBidi"/>
          <w:sz w:val="24"/>
          <w:szCs w:val="24"/>
        </w:rPr>
        <w:t>0.946</w:t>
      </w:r>
      <w:r w:rsidR="00E70100" w:rsidRPr="00731E89">
        <w:rPr>
          <w:rFonts w:asciiTheme="majorBidi" w:hAnsiTheme="majorBidi" w:cstheme="majorBidi"/>
          <w:sz w:val="24"/>
          <w:szCs w:val="24"/>
        </w:rPr>
        <w:t>; 95% CI</w:t>
      </w:r>
      <w:r w:rsidR="00D74218" w:rsidRPr="00731E89">
        <w:rPr>
          <w:rFonts w:asciiTheme="majorBidi" w:hAnsiTheme="majorBidi" w:cstheme="majorBidi"/>
          <w:sz w:val="24"/>
          <w:szCs w:val="24"/>
        </w:rPr>
        <w:t>:</w:t>
      </w:r>
      <w:r w:rsidR="00E70100" w:rsidRPr="00731E89">
        <w:rPr>
          <w:rFonts w:asciiTheme="majorBidi" w:hAnsiTheme="majorBidi" w:cstheme="majorBidi"/>
          <w:sz w:val="24"/>
          <w:szCs w:val="24"/>
        </w:rPr>
        <w:t xml:space="preserve"> </w:t>
      </w:r>
      <w:r w:rsidR="00D74218" w:rsidRPr="00731E89">
        <w:rPr>
          <w:rFonts w:asciiTheme="majorBidi" w:hAnsiTheme="majorBidi" w:cstheme="majorBidi"/>
          <w:sz w:val="24"/>
          <w:szCs w:val="24"/>
        </w:rPr>
        <w:t>0.825 to 0.993; p&lt;0001</w:t>
      </w:r>
      <w:r w:rsidR="00E70100" w:rsidRPr="00731E89">
        <w:rPr>
          <w:rFonts w:asciiTheme="majorBidi" w:hAnsiTheme="majorBidi" w:cstheme="majorBidi"/>
          <w:sz w:val="24"/>
          <w:szCs w:val="24"/>
        </w:rPr>
        <w:t>)</w:t>
      </w:r>
      <w:r w:rsidR="00F23C0B" w:rsidRPr="00731E89">
        <w:rPr>
          <w:rFonts w:asciiTheme="majorBidi" w:hAnsiTheme="majorBidi" w:cstheme="majorBidi"/>
          <w:sz w:val="24"/>
          <w:szCs w:val="24"/>
        </w:rPr>
        <w:t>,</w:t>
      </w:r>
      <w:r w:rsidR="00E70100" w:rsidRPr="00731E89">
        <w:rPr>
          <w:rFonts w:asciiTheme="majorBidi" w:hAnsiTheme="majorBidi" w:cstheme="majorBidi"/>
          <w:sz w:val="24"/>
          <w:szCs w:val="24"/>
        </w:rPr>
        <w:t xml:space="preserve"> and age </w:t>
      </w:r>
      <w:r w:rsidR="00F23C0B" w:rsidRPr="00731E89">
        <w:rPr>
          <w:rFonts w:asciiTheme="majorBidi" w:hAnsiTheme="majorBidi" w:cstheme="majorBidi"/>
          <w:sz w:val="24"/>
          <w:szCs w:val="24"/>
        </w:rPr>
        <w:t xml:space="preserve">(AUC 0.674; 95% </w:t>
      </w:r>
      <w:bookmarkStart w:id="0" w:name="OLE_LINK1"/>
      <w:r w:rsidR="00F23C0B" w:rsidRPr="00731E89">
        <w:rPr>
          <w:rFonts w:asciiTheme="majorBidi" w:hAnsiTheme="majorBidi" w:cstheme="majorBidi"/>
          <w:sz w:val="24"/>
          <w:szCs w:val="24"/>
        </w:rPr>
        <w:t>CI:</w:t>
      </w:r>
      <w:bookmarkEnd w:id="0"/>
      <w:r w:rsidR="00F23C0B" w:rsidRPr="00731E89">
        <w:rPr>
          <w:rFonts w:asciiTheme="majorBidi" w:hAnsiTheme="majorBidi" w:cstheme="majorBidi"/>
          <w:sz w:val="24"/>
          <w:szCs w:val="24"/>
        </w:rPr>
        <w:t xml:space="preserve"> 0.507 to 0.813; p= 0.0496) </w:t>
      </w:r>
      <w:r w:rsidR="00E70100" w:rsidRPr="00731E89">
        <w:rPr>
          <w:rFonts w:asciiTheme="majorBidi" w:hAnsiTheme="majorBidi" w:cstheme="majorBidi"/>
          <w:sz w:val="24"/>
          <w:szCs w:val="24"/>
        </w:rPr>
        <w:t xml:space="preserve">potentially predict </w:t>
      </w:r>
      <w:r w:rsidR="00F23C0B" w:rsidRPr="00731E89">
        <w:rPr>
          <w:rFonts w:asciiTheme="majorBidi" w:hAnsiTheme="majorBidi" w:cstheme="majorBidi"/>
          <w:sz w:val="24"/>
          <w:szCs w:val="24"/>
        </w:rPr>
        <w:t>mortality</w:t>
      </w:r>
      <w:r w:rsidR="00E70100" w:rsidRPr="00731E89">
        <w:rPr>
          <w:rFonts w:asciiTheme="majorBidi" w:hAnsiTheme="majorBidi" w:cstheme="majorBidi"/>
          <w:sz w:val="24"/>
          <w:szCs w:val="24"/>
        </w:rPr>
        <w:t xml:space="preserve">, </w:t>
      </w:r>
      <w:r w:rsidR="00127EA7" w:rsidRPr="00731E89">
        <w:rPr>
          <w:rFonts w:asciiTheme="majorBidi" w:hAnsiTheme="majorBidi" w:cstheme="majorBidi"/>
          <w:sz w:val="24"/>
          <w:szCs w:val="24"/>
        </w:rPr>
        <w:t>while classified values of other clinical factors appear to be poor predictors</w:t>
      </w:r>
      <w:r w:rsidR="00E70100" w:rsidRPr="00731E89">
        <w:rPr>
          <w:rFonts w:asciiTheme="majorBidi" w:hAnsiTheme="majorBidi" w:cstheme="majorBidi"/>
          <w:sz w:val="24"/>
          <w:szCs w:val="24"/>
        </w:rPr>
        <w:t xml:space="preserve"> (</w:t>
      </w:r>
      <w:r w:rsidR="00E70100" w:rsidRPr="00E71C78">
        <w:rPr>
          <w:rFonts w:asciiTheme="majorBidi" w:hAnsiTheme="majorBidi" w:cstheme="majorBidi"/>
          <w:b/>
          <w:bCs/>
          <w:sz w:val="24"/>
          <w:szCs w:val="24"/>
        </w:rPr>
        <w:t xml:space="preserve">Figure </w:t>
      </w:r>
      <w:r w:rsidR="00F23C0B" w:rsidRPr="00E71C78">
        <w:rPr>
          <w:rFonts w:asciiTheme="majorBidi" w:hAnsiTheme="majorBidi" w:cstheme="majorBidi"/>
          <w:b/>
          <w:bCs/>
          <w:sz w:val="24"/>
          <w:szCs w:val="24"/>
        </w:rPr>
        <w:t>1</w:t>
      </w:r>
      <w:r w:rsidR="00E70100" w:rsidRPr="00731E89">
        <w:rPr>
          <w:rFonts w:asciiTheme="majorBidi" w:hAnsiTheme="majorBidi" w:cstheme="majorBidi"/>
          <w:sz w:val="24"/>
          <w:szCs w:val="24"/>
        </w:rPr>
        <w:t xml:space="preserve">). </w:t>
      </w:r>
      <w:r w:rsidR="00127EA7" w:rsidRPr="00E71C78">
        <w:rPr>
          <w:rFonts w:asciiTheme="majorBidi" w:hAnsiTheme="majorBidi" w:cstheme="majorBidi"/>
          <w:b/>
          <w:bCs/>
          <w:sz w:val="24"/>
          <w:szCs w:val="24"/>
        </w:rPr>
        <w:t>Table 2</w:t>
      </w:r>
      <w:r w:rsidR="00127EA7" w:rsidRPr="00731E89">
        <w:rPr>
          <w:rFonts w:asciiTheme="majorBidi" w:hAnsiTheme="majorBidi" w:cstheme="majorBidi"/>
          <w:sz w:val="24"/>
          <w:szCs w:val="24"/>
        </w:rPr>
        <w:t xml:space="preserve"> analyses </w:t>
      </w:r>
      <w:r w:rsidR="00127EA7" w:rsidRPr="00731E89">
        <w:rPr>
          <w:rFonts w:asciiTheme="majorBidi" w:hAnsiTheme="majorBidi" w:cstheme="majorBidi"/>
          <w:sz w:val="24"/>
          <w:szCs w:val="24"/>
        </w:rPr>
        <w:lastRenderedPageBreak/>
        <w:t>the relationship between NLR and important factors in both patient groups that died and those that did not</w:t>
      </w:r>
      <w:r w:rsidR="00E70100" w:rsidRPr="00731E89">
        <w:rPr>
          <w:rFonts w:asciiTheme="majorBidi" w:hAnsiTheme="majorBidi" w:cstheme="majorBidi"/>
          <w:sz w:val="24"/>
          <w:szCs w:val="24"/>
        </w:rPr>
        <w:t>. The correlation of NLR with the level of consciousness was statistically significant</w:t>
      </w:r>
      <w:r w:rsidR="00F23C0B" w:rsidRPr="00731E89">
        <w:rPr>
          <w:rFonts w:asciiTheme="majorBidi" w:hAnsiTheme="majorBidi" w:cstheme="majorBidi"/>
          <w:sz w:val="24"/>
          <w:szCs w:val="24"/>
        </w:rPr>
        <w:t xml:space="preserve"> (CI: 0.0761 to 0.411; p=0.0044)</w:t>
      </w:r>
      <w:r w:rsidR="00E70100" w:rsidRPr="00731E89">
        <w:rPr>
          <w:rFonts w:asciiTheme="majorBidi" w:hAnsiTheme="majorBidi" w:cstheme="majorBidi"/>
          <w:sz w:val="24"/>
          <w:szCs w:val="24"/>
        </w:rPr>
        <w:t>. In contrast, there was no significant in patients with NLR related to age and underl</w:t>
      </w:r>
      <w:r w:rsidR="006A1D91">
        <w:rPr>
          <w:rFonts w:asciiTheme="majorBidi" w:hAnsiTheme="majorBidi" w:cstheme="majorBidi"/>
          <w:sz w:val="24"/>
          <w:szCs w:val="24"/>
        </w:rPr>
        <w:t>y</w:t>
      </w:r>
      <w:r w:rsidR="00E70100" w:rsidRPr="00731E89">
        <w:rPr>
          <w:rFonts w:asciiTheme="majorBidi" w:hAnsiTheme="majorBidi" w:cstheme="majorBidi"/>
          <w:sz w:val="24"/>
          <w:szCs w:val="24"/>
        </w:rPr>
        <w:t xml:space="preserve">ing disease. </w:t>
      </w:r>
    </w:p>
    <w:p w14:paraId="5EF10E19" w14:textId="77777777" w:rsidR="001E31B2" w:rsidRDefault="001E31B2" w:rsidP="006A1D91">
      <w:pPr>
        <w:spacing w:line="360" w:lineRule="auto"/>
        <w:jc w:val="both"/>
        <w:rPr>
          <w:rFonts w:asciiTheme="majorBidi" w:hAnsiTheme="majorBidi" w:cstheme="majorBidi"/>
          <w:b/>
          <w:bCs/>
          <w:sz w:val="24"/>
          <w:szCs w:val="24"/>
        </w:rPr>
      </w:pPr>
      <w:r w:rsidRPr="001E31B2">
        <w:rPr>
          <w:rFonts w:asciiTheme="majorBidi" w:hAnsiTheme="majorBidi" w:cstheme="majorBidi"/>
          <w:b/>
          <w:bCs/>
          <w:sz w:val="24"/>
          <w:szCs w:val="24"/>
        </w:rPr>
        <w:t>NLR correlation with factors predicting mortality and clinical prognosis</w:t>
      </w:r>
    </w:p>
    <w:p w14:paraId="60B6B6C9" w14:textId="77777777" w:rsidR="00E70100" w:rsidRPr="00731E89" w:rsidRDefault="00E70100" w:rsidP="00A421B7">
      <w:pPr>
        <w:spacing w:line="360" w:lineRule="auto"/>
        <w:jc w:val="both"/>
        <w:rPr>
          <w:rStyle w:val="fontstyle01"/>
          <w:rFonts w:asciiTheme="majorBidi" w:hAnsiTheme="majorBidi" w:cstheme="majorBidi"/>
          <w:color w:val="auto"/>
        </w:rPr>
      </w:pPr>
      <w:r w:rsidRPr="00731E89">
        <w:rPr>
          <w:rStyle w:val="fontstyle01"/>
          <w:rFonts w:asciiTheme="majorBidi" w:hAnsiTheme="majorBidi" w:cstheme="majorBidi"/>
        </w:rPr>
        <w:t xml:space="preserve">To further </w:t>
      </w:r>
      <w:r w:rsidR="006A1D91" w:rsidRPr="00731E89">
        <w:rPr>
          <w:rStyle w:val="fontstyle01"/>
          <w:rFonts w:asciiTheme="majorBidi" w:hAnsiTheme="majorBidi" w:cstheme="majorBidi"/>
        </w:rPr>
        <w:t>analyze</w:t>
      </w:r>
      <w:r w:rsidRPr="00731E89">
        <w:rPr>
          <w:rStyle w:val="fontstyle01"/>
          <w:rFonts w:asciiTheme="majorBidi" w:hAnsiTheme="majorBidi" w:cstheme="majorBidi"/>
        </w:rPr>
        <w:t xml:space="preserve"> the effect of NLR on mortality, the dead group was divided based on</w:t>
      </w:r>
      <w:r w:rsidRPr="00731E89">
        <w:rPr>
          <w:rFonts w:asciiTheme="majorBidi" w:hAnsiTheme="majorBidi" w:cstheme="majorBidi"/>
          <w:sz w:val="24"/>
          <w:szCs w:val="24"/>
        </w:rPr>
        <w:t xml:space="preserve"> </w:t>
      </w:r>
      <w:r w:rsidRPr="00731E89">
        <w:rPr>
          <w:rStyle w:val="fontstyle01"/>
          <w:rFonts w:asciiTheme="majorBidi" w:hAnsiTheme="majorBidi" w:cstheme="majorBidi"/>
        </w:rPr>
        <w:t>age, GCS, and underl</w:t>
      </w:r>
      <w:r w:rsidR="006A1D91">
        <w:rPr>
          <w:rStyle w:val="fontstyle01"/>
          <w:rFonts w:asciiTheme="majorBidi" w:hAnsiTheme="majorBidi" w:cstheme="majorBidi"/>
        </w:rPr>
        <w:t>y</w:t>
      </w:r>
      <w:r w:rsidRPr="00731E89">
        <w:rPr>
          <w:rStyle w:val="fontstyle01"/>
          <w:rFonts w:asciiTheme="majorBidi" w:hAnsiTheme="majorBidi" w:cstheme="majorBidi"/>
        </w:rPr>
        <w:t xml:space="preserve">ing disease. </w:t>
      </w:r>
      <w:r w:rsidR="006A1D91" w:rsidRPr="00731E89">
        <w:rPr>
          <w:rFonts w:asciiTheme="majorBidi" w:hAnsiTheme="majorBidi" w:cstheme="majorBidi"/>
          <w:sz w:val="24"/>
          <w:szCs w:val="24"/>
        </w:rPr>
        <w:t>A</w:t>
      </w:r>
      <w:r w:rsidRPr="00731E89">
        <w:rPr>
          <w:rFonts w:asciiTheme="majorBidi" w:hAnsiTheme="majorBidi" w:cstheme="majorBidi"/>
          <w:sz w:val="24"/>
          <w:szCs w:val="24"/>
        </w:rPr>
        <w:t xml:space="preserve">s shown in </w:t>
      </w:r>
      <w:r w:rsidRPr="00E71C78">
        <w:rPr>
          <w:rFonts w:asciiTheme="majorBidi" w:hAnsiTheme="majorBidi" w:cstheme="majorBidi"/>
          <w:b/>
          <w:bCs/>
          <w:sz w:val="24"/>
          <w:szCs w:val="24"/>
        </w:rPr>
        <w:t>Figure 2</w:t>
      </w:r>
      <w:r w:rsidRPr="00731E89">
        <w:rPr>
          <w:rFonts w:asciiTheme="majorBidi" w:hAnsiTheme="majorBidi" w:cstheme="majorBidi"/>
          <w:sz w:val="24"/>
          <w:szCs w:val="24"/>
        </w:rPr>
        <w:t xml:space="preserve">, </w:t>
      </w:r>
      <w:r w:rsidRPr="00731E89">
        <w:rPr>
          <w:rStyle w:val="fontstyle01"/>
          <w:rFonts w:asciiTheme="majorBidi" w:hAnsiTheme="majorBidi" w:cstheme="majorBidi"/>
        </w:rPr>
        <w:t>Mortality in pa</w:t>
      </w:r>
      <w:r w:rsidR="00F23C0B" w:rsidRPr="00731E89">
        <w:rPr>
          <w:rStyle w:val="fontstyle01"/>
          <w:rFonts w:asciiTheme="majorBidi" w:hAnsiTheme="majorBidi" w:cstheme="majorBidi"/>
        </w:rPr>
        <w:t>tients with an admission GCS&lt;8</w:t>
      </w:r>
      <w:r w:rsidRPr="00731E89">
        <w:rPr>
          <w:rStyle w:val="fontstyle01"/>
          <w:rFonts w:asciiTheme="majorBidi" w:hAnsiTheme="majorBidi" w:cstheme="majorBidi"/>
        </w:rPr>
        <w:t xml:space="preserve"> </w:t>
      </w:r>
      <w:r w:rsidR="00F23C0B" w:rsidRPr="00731E89">
        <w:rPr>
          <w:rStyle w:val="fontstyle01"/>
          <w:rFonts w:asciiTheme="majorBidi" w:hAnsiTheme="majorBidi" w:cstheme="majorBidi"/>
        </w:rPr>
        <w:t>was 90</w:t>
      </w:r>
      <w:r w:rsidRPr="00731E89">
        <w:rPr>
          <w:rStyle w:val="fontstyle01"/>
          <w:rFonts w:asciiTheme="majorBidi" w:hAnsiTheme="majorBidi" w:cstheme="majorBidi"/>
        </w:rPr>
        <w:t>% (1</w:t>
      </w:r>
      <w:r w:rsidR="00F23C0B" w:rsidRPr="00731E89">
        <w:rPr>
          <w:rStyle w:val="fontstyle01"/>
          <w:rFonts w:asciiTheme="majorBidi" w:hAnsiTheme="majorBidi" w:cstheme="majorBidi"/>
        </w:rPr>
        <w:t>8</w:t>
      </w:r>
      <w:r w:rsidRPr="00731E89">
        <w:rPr>
          <w:rStyle w:val="fontstyle01"/>
          <w:rFonts w:asciiTheme="majorBidi" w:hAnsiTheme="majorBidi" w:cstheme="majorBidi"/>
        </w:rPr>
        <w:t>/</w:t>
      </w:r>
      <w:r w:rsidR="00F23C0B" w:rsidRPr="00731E89">
        <w:rPr>
          <w:rStyle w:val="fontstyle01"/>
          <w:rFonts w:asciiTheme="majorBidi" w:hAnsiTheme="majorBidi" w:cstheme="majorBidi"/>
        </w:rPr>
        <w:t>20</w:t>
      </w:r>
      <w:r w:rsidRPr="00731E89">
        <w:rPr>
          <w:rStyle w:val="fontstyle01"/>
          <w:rFonts w:asciiTheme="majorBidi" w:hAnsiTheme="majorBidi" w:cstheme="majorBidi"/>
        </w:rPr>
        <w:t>) and was statistically g</w:t>
      </w:r>
      <w:r w:rsidR="00F23C0B" w:rsidRPr="00731E89">
        <w:rPr>
          <w:rStyle w:val="fontstyle01"/>
          <w:rFonts w:asciiTheme="majorBidi" w:hAnsiTheme="majorBidi" w:cstheme="majorBidi"/>
        </w:rPr>
        <w:t>reater than in those with a GCS&gt;8</w:t>
      </w:r>
      <w:r w:rsidRPr="00731E89">
        <w:rPr>
          <w:rStyle w:val="fontstyle01"/>
          <w:rFonts w:asciiTheme="majorBidi" w:hAnsiTheme="majorBidi" w:cstheme="majorBidi"/>
        </w:rPr>
        <w:t xml:space="preserve">. </w:t>
      </w:r>
      <w:r w:rsidRPr="00731E89">
        <w:rPr>
          <w:rFonts w:asciiTheme="majorBidi" w:hAnsiTheme="majorBidi" w:cstheme="majorBidi"/>
          <w:sz w:val="24"/>
          <w:szCs w:val="24"/>
        </w:rPr>
        <w:t>The level of consc</w:t>
      </w:r>
      <w:r w:rsidR="00DC4572" w:rsidRPr="00731E89">
        <w:rPr>
          <w:rFonts w:asciiTheme="majorBidi" w:hAnsiTheme="majorBidi" w:cstheme="majorBidi"/>
          <w:sz w:val="24"/>
          <w:szCs w:val="24"/>
        </w:rPr>
        <w:t xml:space="preserve">iousness </w:t>
      </w:r>
      <w:r w:rsidR="00A421B7">
        <w:rPr>
          <w:rFonts w:asciiTheme="majorBidi" w:hAnsiTheme="majorBidi" w:cstheme="majorBidi"/>
          <w:sz w:val="24"/>
          <w:szCs w:val="24"/>
        </w:rPr>
        <w:t>varied</w:t>
      </w:r>
      <w:r w:rsidR="00DC4572" w:rsidRPr="00731E89">
        <w:rPr>
          <w:rFonts w:asciiTheme="majorBidi" w:hAnsiTheme="majorBidi" w:cstheme="majorBidi"/>
          <w:sz w:val="24"/>
          <w:szCs w:val="24"/>
        </w:rPr>
        <w:t xml:space="preserve"> from coma (n = </w:t>
      </w:r>
      <w:r w:rsidR="0007380A" w:rsidRPr="00731E89">
        <w:rPr>
          <w:rFonts w:asciiTheme="majorBidi" w:hAnsiTheme="majorBidi" w:cstheme="majorBidi"/>
          <w:sz w:val="24"/>
          <w:szCs w:val="24"/>
        </w:rPr>
        <w:t>4</w:t>
      </w:r>
      <w:r w:rsidRPr="00731E89">
        <w:rPr>
          <w:rFonts w:asciiTheme="majorBidi" w:hAnsiTheme="majorBidi" w:cstheme="majorBidi"/>
          <w:sz w:val="24"/>
          <w:szCs w:val="24"/>
        </w:rPr>
        <w:t xml:space="preserve">), </w:t>
      </w:r>
      <w:proofErr w:type="spellStart"/>
      <w:r w:rsidRPr="00731E89">
        <w:rPr>
          <w:rFonts w:asciiTheme="majorBidi" w:hAnsiTheme="majorBidi" w:cstheme="majorBidi"/>
          <w:sz w:val="24"/>
          <w:szCs w:val="24"/>
        </w:rPr>
        <w:t>sem</w:t>
      </w:r>
      <w:r w:rsidR="00F23C0B" w:rsidRPr="00731E89">
        <w:rPr>
          <w:rFonts w:asciiTheme="majorBidi" w:hAnsiTheme="majorBidi" w:cstheme="majorBidi"/>
          <w:sz w:val="24"/>
          <w:szCs w:val="24"/>
        </w:rPr>
        <w:t>icoma</w:t>
      </w:r>
      <w:proofErr w:type="spellEnd"/>
      <w:r w:rsidR="00F23C0B" w:rsidRPr="00731E89">
        <w:rPr>
          <w:rFonts w:asciiTheme="majorBidi" w:hAnsiTheme="majorBidi" w:cstheme="majorBidi"/>
          <w:sz w:val="24"/>
          <w:szCs w:val="24"/>
        </w:rPr>
        <w:t xml:space="preserve"> (n = </w:t>
      </w:r>
      <w:r w:rsidR="0007380A" w:rsidRPr="00731E89">
        <w:rPr>
          <w:rFonts w:asciiTheme="majorBidi" w:hAnsiTheme="majorBidi" w:cstheme="majorBidi"/>
          <w:sz w:val="24"/>
          <w:szCs w:val="24"/>
        </w:rPr>
        <w:t>14</w:t>
      </w:r>
      <w:r w:rsidR="006A1D91" w:rsidRPr="00731E89">
        <w:rPr>
          <w:rFonts w:asciiTheme="majorBidi" w:hAnsiTheme="majorBidi" w:cstheme="majorBidi"/>
          <w:sz w:val="24"/>
          <w:szCs w:val="24"/>
        </w:rPr>
        <w:t>),</w:t>
      </w:r>
      <w:r w:rsidR="006A1D91">
        <w:rPr>
          <w:rFonts w:asciiTheme="majorBidi" w:hAnsiTheme="majorBidi" w:cstheme="majorBidi"/>
          <w:sz w:val="24"/>
          <w:szCs w:val="24"/>
        </w:rPr>
        <w:t xml:space="preserve"> and</w:t>
      </w:r>
      <w:r w:rsidR="00F23C0B" w:rsidRPr="00731E89">
        <w:rPr>
          <w:rFonts w:asciiTheme="majorBidi" w:hAnsiTheme="majorBidi" w:cstheme="majorBidi"/>
          <w:sz w:val="24"/>
          <w:szCs w:val="24"/>
        </w:rPr>
        <w:t xml:space="preserve"> stupor (n = 2)</w:t>
      </w:r>
      <w:r w:rsidRPr="00731E89">
        <w:rPr>
          <w:rFonts w:asciiTheme="majorBidi" w:hAnsiTheme="majorBidi" w:cstheme="majorBidi"/>
          <w:sz w:val="24"/>
          <w:szCs w:val="24"/>
        </w:rPr>
        <w:t xml:space="preserve">. The GCS scores of coma, </w:t>
      </w:r>
      <w:proofErr w:type="spellStart"/>
      <w:r w:rsidRPr="00731E89">
        <w:rPr>
          <w:rFonts w:asciiTheme="majorBidi" w:hAnsiTheme="majorBidi" w:cstheme="majorBidi"/>
          <w:sz w:val="24"/>
          <w:szCs w:val="24"/>
        </w:rPr>
        <w:t>semicoma</w:t>
      </w:r>
      <w:proofErr w:type="spellEnd"/>
      <w:r w:rsidRPr="00731E89">
        <w:rPr>
          <w:rFonts w:asciiTheme="majorBidi" w:hAnsiTheme="majorBidi" w:cstheme="majorBidi"/>
          <w:sz w:val="24"/>
          <w:szCs w:val="24"/>
        </w:rPr>
        <w:t xml:space="preserve">, </w:t>
      </w:r>
      <w:r w:rsidR="00DC4572" w:rsidRPr="00731E89">
        <w:rPr>
          <w:rFonts w:asciiTheme="majorBidi" w:hAnsiTheme="majorBidi" w:cstheme="majorBidi"/>
          <w:sz w:val="24"/>
          <w:szCs w:val="24"/>
        </w:rPr>
        <w:t xml:space="preserve">and </w:t>
      </w:r>
      <w:r w:rsidRPr="00731E89">
        <w:rPr>
          <w:rFonts w:asciiTheme="majorBidi" w:hAnsiTheme="majorBidi" w:cstheme="majorBidi"/>
          <w:sz w:val="24"/>
          <w:szCs w:val="24"/>
        </w:rPr>
        <w:t xml:space="preserve">stupor were 3.5 ± </w:t>
      </w:r>
      <w:r w:rsidR="00797417" w:rsidRPr="00731E89">
        <w:rPr>
          <w:rFonts w:asciiTheme="majorBidi" w:hAnsiTheme="majorBidi" w:cstheme="majorBidi"/>
          <w:sz w:val="24"/>
          <w:szCs w:val="24"/>
        </w:rPr>
        <w:t>0.28</w:t>
      </w:r>
      <w:r w:rsidRPr="00731E89">
        <w:rPr>
          <w:rFonts w:asciiTheme="majorBidi" w:hAnsiTheme="majorBidi" w:cstheme="majorBidi"/>
          <w:sz w:val="24"/>
          <w:szCs w:val="24"/>
        </w:rPr>
        <w:t>, 5.</w:t>
      </w:r>
      <w:r w:rsidR="00797417" w:rsidRPr="00731E89">
        <w:rPr>
          <w:rFonts w:asciiTheme="majorBidi" w:hAnsiTheme="majorBidi" w:cstheme="majorBidi"/>
          <w:sz w:val="24"/>
          <w:szCs w:val="24"/>
        </w:rPr>
        <w:t>66</w:t>
      </w:r>
      <w:r w:rsidRPr="00731E89">
        <w:rPr>
          <w:rFonts w:asciiTheme="majorBidi" w:hAnsiTheme="majorBidi" w:cstheme="majorBidi"/>
          <w:sz w:val="24"/>
          <w:szCs w:val="24"/>
        </w:rPr>
        <w:t xml:space="preserve"> ± </w:t>
      </w:r>
      <w:r w:rsidR="00797417" w:rsidRPr="00731E89">
        <w:rPr>
          <w:rFonts w:asciiTheme="majorBidi" w:hAnsiTheme="majorBidi" w:cstheme="majorBidi"/>
          <w:sz w:val="24"/>
          <w:szCs w:val="24"/>
        </w:rPr>
        <w:t>0.21, and 8</w:t>
      </w:r>
      <w:r w:rsidRPr="00731E89">
        <w:rPr>
          <w:rFonts w:asciiTheme="majorBidi" w:hAnsiTheme="majorBidi" w:cstheme="majorBidi"/>
          <w:sz w:val="24"/>
          <w:szCs w:val="24"/>
        </w:rPr>
        <w:t>.</w:t>
      </w:r>
      <w:r w:rsidR="00797417" w:rsidRPr="00731E89">
        <w:rPr>
          <w:rFonts w:asciiTheme="majorBidi" w:hAnsiTheme="majorBidi" w:cstheme="majorBidi"/>
          <w:sz w:val="24"/>
          <w:szCs w:val="24"/>
        </w:rPr>
        <w:t>5</w:t>
      </w:r>
      <w:r w:rsidRPr="00731E89">
        <w:rPr>
          <w:rFonts w:asciiTheme="majorBidi" w:hAnsiTheme="majorBidi" w:cstheme="majorBidi"/>
          <w:sz w:val="24"/>
          <w:szCs w:val="24"/>
        </w:rPr>
        <w:t xml:space="preserve"> ± </w:t>
      </w:r>
      <w:r w:rsidR="00797417" w:rsidRPr="00731E89">
        <w:rPr>
          <w:rFonts w:asciiTheme="majorBidi" w:hAnsiTheme="majorBidi" w:cstheme="majorBidi"/>
          <w:sz w:val="24"/>
          <w:szCs w:val="24"/>
        </w:rPr>
        <w:t>0.5</w:t>
      </w:r>
      <w:r w:rsidRPr="00731E89">
        <w:rPr>
          <w:rFonts w:asciiTheme="majorBidi" w:hAnsiTheme="majorBidi" w:cstheme="majorBidi"/>
          <w:sz w:val="24"/>
          <w:szCs w:val="24"/>
        </w:rPr>
        <w:t>, respectively (</w:t>
      </w:r>
      <w:r w:rsidR="00DC4572" w:rsidRPr="00E71C78">
        <w:rPr>
          <w:rFonts w:asciiTheme="majorBidi" w:hAnsiTheme="majorBidi" w:cstheme="majorBidi"/>
          <w:b/>
          <w:bCs/>
          <w:sz w:val="24"/>
          <w:szCs w:val="24"/>
        </w:rPr>
        <w:t>Figure</w:t>
      </w:r>
      <w:r w:rsidRPr="00E71C78">
        <w:rPr>
          <w:rFonts w:asciiTheme="majorBidi" w:hAnsiTheme="majorBidi" w:cstheme="majorBidi"/>
          <w:b/>
          <w:bCs/>
          <w:sz w:val="24"/>
          <w:szCs w:val="24"/>
        </w:rPr>
        <w:t xml:space="preserve"> </w:t>
      </w:r>
      <w:r w:rsidR="00DC4572" w:rsidRPr="00E71C78">
        <w:rPr>
          <w:rFonts w:asciiTheme="majorBidi" w:hAnsiTheme="majorBidi" w:cstheme="majorBidi"/>
          <w:b/>
          <w:bCs/>
          <w:sz w:val="24"/>
          <w:szCs w:val="24"/>
        </w:rPr>
        <w:t>2</w:t>
      </w:r>
      <w:r w:rsidRPr="00731E89">
        <w:rPr>
          <w:rFonts w:asciiTheme="majorBidi" w:hAnsiTheme="majorBidi" w:cstheme="majorBidi"/>
          <w:sz w:val="24"/>
          <w:szCs w:val="24"/>
        </w:rPr>
        <w:t xml:space="preserve">). </w:t>
      </w:r>
      <w:r w:rsidR="00A421B7" w:rsidRPr="00A421B7">
        <w:rPr>
          <w:rFonts w:asciiTheme="majorBidi" w:hAnsiTheme="majorBidi" w:cstheme="majorBidi"/>
          <w:sz w:val="24"/>
          <w:szCs w:val="24"/>
        </w:rPr>
        <w:t xml:space="preserve">The GCS scores did not differ significantly between coma and </w:t>
      </w:r>
      <w:proofErr w:type="spellStart"/>
      <w:r w:rsidR="00A421B7" w:rsidRPr="00A421B7">
        <w:rPr>
          <w:rFonts w:asciiTheme="majorBidi" w:hAnsiTheme="majorBidi" w:cstheme="majorBidi"/>
          <w:sz w:val="24"/>
          <w:szCs w:val="24"/>
        </w:rPr>
        <w:t>semicoma</w:t>
      </w:r>
      <w:proofErr w:type="spellEnd"/>
      <w:r w:rsidR="00A421B7" w:rsidRPr="00A421B7">
        <w:rPr>
          <w:rFonts w:asciiTheme="majorBidi" w:hAnsiTheme="majorBidi" w:cstheme="majorBidi"/>
          <w:sz w:val="24"/>
          <w:szCs w:val="24"/>
        </w:rPr>
        <w:t xml:space="preserve"> levels. GCS scores also increased as consciousness level increased. </w:t>
      </w:r>
      <w:r w:rsidRPr="00731E89">
        <w:rPr>
          <w:rStyle w:val="fontstyle01"/>
          <w:rFonts w:asciiTheme="majorBidi" w:hAnsiTheme="majorBidi" w:cstheme="majorBidi"/>
        </w:rPr>
        <w:t>NLR was</w:t>
      </w:r>
      <w:r w:rsidRPr="00731E89">
        <w:rPr>
          <w:rFonts w:asciiTheme="majorBidi" w:hAnsiTheme="majorBidi" w:cstheme="majorBidi"/>
          <w:color w:val="000000"/>
          <w:sz w:val="24"/>
          <w:szCs w:val="24"/>
        </w:rPr>
        <w:t xml:space="preserve"> </w:t>
      </w:r>
      <w:r w:rsidRPr="00731E89">
        <w:rPr>
          <w:rStyle w:val="fontstyle01"/>
          <w:rFonts w:asciiTheme="majorBidi" w:hAnsiTheme="majorBidi" w:cstheme="majorBidi"/>
        </w:rPr>
        <w:t xml:space="preserve">significantly different in the three groups by GCS in </w:t>
      </w:r>
      <w:r w:rsidRPr="00731E89">
        <w:rPr>
          <w:rFonts w:asciiTheme="majorBidi" w:eastAsia="Times New Roman" w:hAnsiTheme="majorBidi" w:cstheme="majorBidi"/>
          <w:sz w:val="24"/>
          <w:szCs w:val="24"/>
        </w:rPr>
        <w:t xml:space="preserve">coma </w:t>
      </w:r>
      <w:r w:rsidR="0007380A" w:rsidRPr="00731E89">
        <w:rPr>
          <w:rFonts w:asciiTheme="majorBidi" w:eastAsia="Times New Roman" w:hAnsiTheme="majorBidi" w:cstheme="majorBidi"/>
          <w:sz w:val="24"/>
          <w:szCs w:val="24"/>
        </w:rPr>
        <w:t xml:space="preserve">and </w:t>
      </w:r>
      <w:proofErr w:type="spellStart"/>
      <w:r w:rsidR="0007380A" w:rsidRPr="00731E89">
        <w:rPr>
          <w:rFonts w:asciiTheme="majorBidi" w:eastAsia="Times New Roman" w:hAnsiTheme="majorBidi" w:cstheme="majorBidi"/>
          <w:sz w:val="24"/>
          <w:szCs w:val="24"/>
        </w:rPr>
        <w:t>semicoma</w:t>
      </w:r>
      <w:proofErr w:type="spellEnd"/>
      <w:r w:rsidR="0007380A" w:rsidRPr="00731E89">
        <w:rPr>
          <w:rFonts w:asciiTheme="majorBidi" w:eastAsia="Times New Roman" w:hAnsiTheme="majorBidi" w:cstheme="majorBidi"/>
          <w:sz w:val="24"/>
          <w:szCs w:val="24"/>
        </w:rPr>
        <w:t xml:space="preserve"> </w:t>
      </w:r>
      <w:r w:rsidRPr="00731E89">
        <w:rPr>
          <w:rFonts w:asciiTheme="majorBidi" w:eastAsia="Times New Roman" w:hAnsiTheme="majorBidi" w:cstheme="majorBidi"/>
          <w:sz w:val="24"/>
          <w:szCs w:val="24"/>
        </w:rPr>
        <w:t>group</w:t>
      </w:r>
      <w:r w:rsidR="0007380A" w:rsidRPr="00731E89">
        <w:rPr>
          <w:rFonts w:asciiTheme="majorBidi" w:eastAsia="Times New Roman" w:hAnsiTheme="majorBidi" w:cstheme="majorBidi"/>
          <w:sz w:val="24"/>
          <w:szCs w:val="24"/>
        </w:rPr>
        <w:t>s</w:t>
      </w:r>
      <w:r w:rsidRPr="00731E89">
        <w:rPr>
          <w:rFonts w:asciiTheme="majorBidi" w:eastAsia="Times New Roman" w:hAnsiTheme="majorBidi" w:cstheme="majorBidi"/>
          <w:sz w:val="24"/>
          <w:szCs w:val="24"/>
        </w:rPr>
        <w:t xml:space="preserve"> compared to the stupor group (</w:t>
      </w:r>
      <w:r w:rsidRPr="00731E89">
        <w:rPr>
          <w:rStyle w:val="fontstyle01"/>
          <w:rFonts w:asciiTheme="majorBidi" w:hAnsiTheme="majorBidi" w:cstheme="majorBidi"/>
        </w:rPr>
        <w:t xml:space="preserve">p&lt;0.05). Univariate analysis revealed that NLR in age </w:t>
      </w:r>
      <w:r w:rsidR="0007380A" w:rsidRPr="00731E89">
        <w:rPr>
          <w:rStyle w:val="fontstyle01"/>
          <w:rFonts w:asciiTheme="majorBidi" w:hAnsiTheme="majorBidi" w:cstheme="majorBidi"/>
        </w:rPr>
        <w:t>and underl</w:t>
      </w:r>
      <w:r w:rsidR="006A1D91">
        <w:rPr>
          <w:rStyle w:val="fontstyle01"/>
          <w:rFonts w:asciiTheme="majorBidi" w:hAnsiTheme="majorBidi" w:cstheme="majorBidi"/>
        </w:rPr>
        <w:t>y</w:t>
      </w:r>
      <w:r w:rsidR="0007380A" w:rsidRPr="00731E89">
        <w:rPr>
          <w:rStyle w:val="fontstyle01"/>
          <w:rFonts w:asciiTheme="majorBidi" w:hAnsiTheme="majorBidi" w:cstheme="majorBidi"/>
        </w:rPr>
        <w:t>ing disease</w:t>
      </w:r>
      <w:r w:rsidRPr="00731E89">
        <w:rPr>
          <w:rStyle w:val="fontstyle01"/>
          <w:rFonts w:asciiTheme="majorBidi" w:hAnsiTheme="majorBidi" w:cstheme="majorBidi"/>
        </w:rPr>
        <w:t xml:space="preserve"> </w:t>
      </w:r>
      <w:r w:rsidR="006A1D91">
        <w:rPr>
          <w:rStyle w:val="fontstyle01"/>
          <w:rFonts w:asciiTheme="majorBidi" w:hAnsiTheme="majorBidi" w:cstheme="majorBidi"/>
        </w:rPr>
        <w:t>was</w:t>
      </w:r>
      <w:r w:rsidR="0007380A" w:rsidRPr="00731E89">
        <w:rPr>
          <w:rStyle w:val="fontstyle01"/>
          <w:rFonts w:asciiTheme="majorBidi" w:hAnsiTheme="majorBidi" w:cstheme="majorBidi"/>
        </w:rPr>
        <w:t xml:space="preserve"> not</w:t>
      </w:r>
      <w:r w:rsidRPr="00731E89">
        <w:rPr>
          <w:rStyle w:val="fontstyle01"/>
          <w:rFonts w:asciiTheme="majorBidi" w:hAnsiTheme="majorBidi" w:cstheme="majorBidi"/>
        </w:rPr>
        <w:t xml:space="preserve"> significantly </w:t>
      </w:r>
      <w:r w:rsidR="00B85BB6" w:rsidRPr="00731E89">
        <w:rPr>
          <w:rStyle w:val="fontstyle01"/>
          <w:rFonts w:asciiTheme="majorBidi" w:hAnsiTheme="majorBidi" w:cstheme="majorBidi"/>
        </w:rPr>
        <w:t>correlated</w:t>
      </w:r>
      <w:r w:rsidRPr="00731E89">
        <w:rPr>
          <w:rStyle w:val="fontstyle01"/>
          <w:rFonts w:asciiTheme="majorBidi" w:hAnsiTheme="majorBidi" w:cstheme="majorBidi"/>
        </w:rPr>
        <w:t xml:space="preserve"> to mortality. </w:t>
      </w:r>
    </w:p>
    <w:p w14:paraId="5C8F37D3" w14:textId="77777777" w:rsidR="00E70100" w:rsidRPr="00731E89" w:rsidRDefault="00E70100" w:rsidP="00731E89">
      <w:pPr>
        <w:spacing w:line="360" w:lineRule="auto"/>
        <w:jc w:val="both"/>
        <w:rPr>
          <w:rFonts w:asciiTheme="majorBidi" w:hAnsiTheme="majorBidi" w:cstheme="majorBidi"/>
          <w:b/>
          <w:bCs/>
          <w:sz w:val="24"/>
          <w:szCs w:val="24"/>
        </w:rPr>
      </w:pPr>
      <w:r w:rsidRPr="00731E89">
        <w:rPr>
          <w:rFonts w:asciiTheme="majorBidi" w:hAnsiTheme="majorBidi" w:cstheme="majorBidi"/>
          <w:b/>
          <w:bCs/>
          <w:sz w:val="24"/>
          <w:szCs w:val="24"/>
        </w:rPr>
        <w:t>Logistic Regression</w:t>
      </w:r>
    </w:p>
    <w:p w14:paraId="7D5D8EB0" w14:textId="77777777" w:rsidR="00E70100" w:rsidRPr="00731E89" w:rsidRDefault="00B85BB6" w:rsidP="00E71C78">
      <w:pPr>
        <w:spacing w:line="360" w:lineRule="auto"/>
        <w:jc w:val="both"/>
        <w:rPr>
          <w:rFonts w:asciiTheme="majorBidi" w:hAnsiTheme="majorBidi" w:cstheme="majorBidi"/>
          <w:color w:val="000000"/>
          <w:sz w:val="24"/>
          <w:szCs w:val="24"/>
        </w:rPr>
      </w:pPr>
      <w:r w:rsidRPr="00731E89">
        <w:rPr>
          <w:rStyle w:val="fontstyle01"/>
          <w:rFonts w:asciiTheme="majorBidi" w:hAnsiTheme="majorBidi" w:cstheme="majorBidi"/>
        </w:rPr>
        <w:t xml:space="preserve">Logistic regression analysis was used to predict unfavorable results using significant univariate characteristics </w:t>
      </w:r>
      <w:r w:rsidR="004B4C1A" w:rsidRPr="00731E89">
        <w:rPr>
          <w:rStyle w:val="fontstyle01"/>
          <w:rFonts w:asciiTheme="majorBidi" w:hAnsiTheme="majorBidi" w:cstheme="majorBidi"/>
        </w:rPr>
        <w:t>(</w:t>
      </w:r>
      <w:r w:rsidR="004B4C1A" w:rsidRPr="00E71C78">
        <w:rPr>
          <w:rStyle w:val="fontstyle01"/>
          <w:rFonts w:asciiTheme="majorBidi" w:hAnsiTheme="majorBidi" w:cstheme="majorBidi"/>
          <w:b/>
          <w:bCs/>
        </w:rPr>
        <w:t>Table 3</w:t>
      </w:r>
      <w:r w:rsidR="004B4C1A" w:rsidRPr="00731E89">
        <w:rPr>
          <w:rStyle w:val="fontstyle01"/>
          <w:rFonts w:asciiTheme="majorBidi" w:hAnsiTheme="majorBidi" w:cstheme="majorBidi"/>
        </w:rPr>
        <w:t>)</w:t>
      </w:r>
      <w:r w:rsidR="00E70100" w:rsidRPr="00731E89">
        <w:rPr>
          <w:rStyle w:val="fontstyle01"/>
          <w:rFonts w:asciiTheme="majorBidi" w:hAnsiTheme="majorBidi" w:cstheme="majorBidi"/>
        </w:rPr>
        <w:t xml:space="preserve">. </w:t>
      </w:r>
      <w:r w:rsidR="00731E89" w:rsidRPr="00731E89">
        <w:rPr>
          <w:rFonts w:asciiTheme="majorBidi" w:hAnsiTheme="majorBidi" w:cstheme="majorBidi"/>
          <w:sz w:val="24"/>
          <w:szCs w:val="24"/>
        </w:rPr>
        <w:t>The level of consciousness on admission</w:t>
      </w:r>
      <w:r w:rsidR="00A421B7">
        <w:rPr>
          <w:rFonts w:asciiTheme="majorBidi" w:hAnsiTheme="majorBidi" w:cstheme="majorBidi"/>
          <w:sz w:val="24"/>
          <w:szCs w:val="24"/>
        </w:rPr>
        <w:t xml:space="preserve"> was</w:t>
      </w:r>
      <w:r w:rsidR="00731E89" w:rsidRPr="00731E89">
        <w:rPr>
          <w:rFonts w:asciiTheme="majorBidi" w:hAnsiTheme="majorBidi" w:cstheme="majorBidi"/>
          <w:sz w:val="24"/>
          <w:szCs w:val="24"/>
        </w:rPr>
        <w:t xml:space="preserve"> </w:t>
      </w:r>
      <w:r w:rsidR="00A421B7" w:rsidRPr="00A421B7">
        <w:rPr>
          <w:rFonts w:asciiTheme="majorBidi" w:hAnsiTheme="majorBidi" w:cstheme="majorBidi"/>
          <w:sz w:val="24"/>
          <w:szCs w:val="24"/>
        </w:rPr>
        <w:t xml:space="preserve">discovered </w:t>
      </w:r>
      <w:r w:rsidR="00A421B7">
        <w:rPr>
          <w:rFonts w:asciiTheme="majorBidi" w:hAnsiTheme="majorBidi" w:cstheme="majorBidi"/>
          <w:sz w:val="24"/>
          <w:szCs w:val="24"/>
        </w:rPr>
        <w:t xml:space="preserve">to be associated with mortality </w:t>
      </w:r>
      <w:r w:rsidR="004B4C1A" w:rsidRPr="00731E89">
        <w:rPr>
          <w:rFonts w:asciiTheme="majorBidi" w:hAnsiTheme="majorBidi" w:cstheme="majorBidi"/>
          <w:sz w:val="24"/>
          <w:szCs w:val="24"/>
        </w:rPr>
        <w:t>(OR: 0.23; 95% CI: 0.08-0.65</w:t>
      </w:r>
      <w:r w:rsidR="0094512E" w:rsidRPr="00731E89">
        <w:rPr>
          <w:rFonts w:asciiTheme="majorBidi" w:hAnsiTheme="majorBidi" w:cstheme="majorBidi"/>
          <w:sz w:val="24"/>
          <w:szCs w:val="24"/>
        </w:rPr>
        <w:t>; p= 0.005</w:t>
      </w:r>
      <w:r w:rsidR="004B4C1A" w:rsidRPr="00731E89">
        <w:rPr>
          <w:rFonts w:asciiTheme="majorBidi" w:hAnsiTheme="majorBidi" w:cstheme="majorBidi"/>
          <w:sz w:val="24"/>
          <w:szCs w:val="24"/>
        </w:rPr>
        <w:t>)</w:t>
      </w:r>
      <w:r w:rsidR="00E70100" w:rsidRPr="00731E89">
        <w:rPr>
          <w:rFonts w:asciiTheme="majorBidi" w:hAnsiTheme="majorBidi" w:cstheme="majorBidi"/>
          <w:sz w:val="24"/>
          <w:szCs w:val="24"/>
        </w:rPr>
        <w:t xml:space="preserve">. </w:t>
      </w:r>
      <w:r w:rsidR="00A421B7" w:rsidRPr="00A421B7">
        <w:rPr>
          <w:rFonts w:asciiTheme="majorBidi" w:hAnsiTheme="majorBidi" w:cstheme="majorBidi"/>
          <w:sz w:val="24"/>
          <w:szCs w:val="24"/>
        </w:rPr>
        <w:t>According to these regression analyses, there were no significant indicator</w:t>
      </w:r>
      <w:r w:rsidR="00A421B7">
        <w:rPr>
          <w:rFonts w:asciiTheme="majorBidi" w:hAnsiTheme="majorBidi" w:cstheme="majorBidi"/>
          <w:sz w:val="24"/>
          <w:szCs w:val="24"/>
        </w:rPr>
        <w:t xml:space="preserve">s for sex, age, or overall NLR. </w:t>
      </w:r>
      <w:r w:rsidR="00E70100" w:rsidRPr="00731E89">
        <w:rPr>
          <w:rFonts w:asciiTheme="majorBidi" w:hAnsiTheme="majorBidi" w:cstheme="majorBidi"/>
          <w:sz w:val="24"/>
          <w:szCs w:val="24"/>
        </w:rPr>
        <w:t>We then characterized dead patients based on the rate of NLR (&gt;</w:t>
      </w:r>
      <w:r w:rsidR="003A6E4D">
        <w:rPr>
          <w:rFonts w:asciiTheme="majorBidi" w:hAnsiTheme="majorBidi" w:cstheme="majorBidi"/>
          <w:sz w:val="24"/>
          <w:szCs w:val="24"/>
        </w:rPr>
        <w:t>8.88</w:t>
      </w:r>
      <w:r w:rsidR="00E70100" w:rsidRPr="00731E89">
        <w:rPr>
          <w:rFonts w:asciiTheme="majorBidi" w:hAnsiTheme="majorBidi" w:cstheme="majorBidi"/>
          <w:sz w:val="24"/>
          <w:szCs w:val="24"/>
        </w:rPr>
        <w:t xml:space="preserve"> vs. &lt;</w:t>
      </w:r>
      <w:r w:rsidR="003A6E4D">
        <w:rPr>
          <w:rFonts w:asciiTheme="majorBidi" w:hAnsiTheme="majorBidi" w:cstheme="majorBidi"/>
          <w:sz w:val="24"/>
          <w:szCs w:val="24"/>
        </w:rPr>
        <w:t>8.88</w:t>
      </w:r>
      <w:r w:rsidR="00E70100" w:rsidRPr="00731E89">
        <w:rPr>
          <w:rFonts w:asciiTheme="majorBidi" w:hAnsiTheme="majorBidi" w:cstheme="majorBidi"/>
          <w:sz w:val="24"/>
          <w:szCs w:val="24"/>
        </w:rPr>
        <w:t>)</w:t>
      </w:r>
      <w:r w:rsidR="0049308D">
        <w:rPr>
          <w:rFonts w:asciiTheme="majorBidi" w:hAnsiTheme="majorBidi" w:cstheme="majorBidi"/>
          <w:sz w:val="24"/>
          <w:szCs w:val="24"/>
        </w:rPr>
        <w:t xml:space="preserve"> in the CSF</w:t>
      </w:r>
      <w:r w:rsidR="00E70100" w:rsidRPr="00731E89">
        <w:rPr>
          <w:rFonts w:asciiTheme="majorBidi" w:hAnsiTheme="majorBidi" w:cstheme="majorBidi"/>
          <w:sz w:val="24"/>
          <w:szCs w:val="24"/>
        </w:rPr>
        <w:t xml:space="preserve">. </w:t>
      </w:r>
      <w:r w:rsidR="004B4C1A" w:rsidRPr="00731E89">
        <w:rPr>
          <w:rStyle w:val="fontstyle01"/>
          <w:rFonts w:asciiTheme="majorBidi" w:hAnsiTheme="majorBidi" w:cstheme="majorBidi"/>
        </w:rPr>
        <w:t>10</w:t>
      </w:r>
      <w:r w:rsidR="00E70100" w:rsidRPr="00731E89">
        <w:rPr>
          <w:rStyle w:val="fontstyle01"/>
          <w:rFonts w:asciiTheme="majorBidi" w:hAnsiTheme="majorBidi" w:cstheme="majorBidi"/>
        </w:rPr>
        <w:t xml:space="preserve"> (</w:t>
      </w:r>
      <w:r w:rsidR="004B4C1A" w:rsidRPr="00731E89">
        <w:rPr>
          <w:rStyle w:val="fontstyle01"/>
          <w:rFonts w:asciiTheme="majorBidi" w:hAnsiTheme="majorBidi" w:cstheme="majorBidi"/>
        </w:rPr>
        <w:t>50</w:t>
      </w:r>
      <w:r w:rsidR="00E70100" w:rsidRPr="00731E89">
        <w:rPr>
          <w:rStyle w:val="fontstyle01"/>
          <w:rFonts w:asciiTheme="majorBidi" w:hAnsiTheme="majorBidi" w:cstheme="majorBidi"/>
        </w:rPr>
        <w:t>%)</w:t>
      </w:r>
      <w:r w:rsidR="00E70100" w:rsidRPr="00731E89">
        <w:rPr>
          <w:rFonts w:asciiTheme="majorBidi" w:hAnsiTheme="majorBidi" w:cstheme="majorBidi"/>
          <w:color w:val="000000"/>
          <w:sz w:val="24"/>
          <w:szCs w:val="24"/>
        </w:rPr>
        <w:t xml:space="preserve"> </w:t>
      </w:r>
      <w:r w:rsidR="00E70100" w:rsidRPr="00731E89">
        <w:rPr>
          <w:rStyle w:val="fontstyle01"/>
          <w:rFonts w:asciiTheme="majorBidi" w:hAnsiTheme="majorBidi" w:cstheme="majorBidi"/>
        </w:rPr>
        <w:t>patients had a</w:t>
      </w:r>
      <w:r w:rsidR="006A1D91">
        <w:rPr>
          <w:rStyle w:val="fontstyle01"/>
          <w:rFonts w:asciiTheme="majorBidi" w:hAnsiTheme="majorBidi" w:cstheme="majorBidi"/>
        </w:rPr>
        <w:t>n</w:t>
      </w:r>
      <w:r w:rsidR="00E70100" w:rsidRPr="00731E89">
        <w:rPr>
          <w:rStyle w:val="fontstyle01"/>
          <w:rFonts w:asciiTheme="majorBidi" w:hAnsiTheme="majorBidi" w:cstheme="majorBidi"/>
        </w:rPr>
        <w:t xml:space="preserve"> NLR of &lt;</w:t>
      </w:r>
      <w:r w:rsidR="003A6E4D">
        <w:rPr>
          <w:rStyle w:val="fontstyle01"/>
          <w:rFonts w:asciiTheme="majorBidi" w:hAnsiTheme="majorBidi" w:cstheme="majorBidi"/>
        </w:rPr>
        <w:t>8.88</w:t>
      </w:r>
      <w:r w:rsidR="00E70100" w:rsidRPr="00731E89">
        <w:rPr>
          <w:rStyle w:val="fontstyle01"/>
          <w:rFonts w:asciiTheme="majorBidi" w:hAnsiTheme="majorBidi" w:cstheme="majorBidi"/>
        </w:rPr>
        <w:t xml:space="preserve"> and </w:t>
      </w:r>
      <w:r w:rsidR="004B4C1A" w:rsidRPr="00731E89">
        <w:rPr>
          <w:rStyle w:val="fontstyle01"/>
          <w:rFonts w:asciiTheme="majorBidi" w:hAnsiTheme="majorBidi" w:cstheme="majorBidi"/>
        </w:rPr>
        <w:t>50</w:t>
      </w:r>
      <w:r w:rsidR="00E70100" w:rsidRPr="00731E89">
        <w:rPr>
          <w:rStyle w:val="fontstyle01"/>
          <w:rFonts w:asciiTheme="majorBidi" w:hAnsiTheme="majorBidi" w:cstheme="majorBidi"/>
        </w:rPr>
        <w:t xml:space="preserve"> (</w:t>
      </w:r>
      <w:r w:rsidR="004B4C1A" w:rsidRPr="00731E89">
        <w:rPr>
          <w:rStyle w:val="fontstyle01"/>
          <w:rFonts w:asciiTheme="majorBidi" w:hAnsiTheme="majorBidi" w:cstheme="majorBidi"/>
        </w:rPr>
        <w:t>50</w:t>
      </w:r>
      <w:r w:rsidR="00E70100" w:rsidRPr="00731E89">
        <w:rPr>
          <w:rStyle w:val="fontstyle01"/>
          <w:rFonts w:asciiTheme="majorBidi" w:hAnsiTheme="majorBidi" w:cstheme="majorBidi"/>
        </w:rPr>
        <w:t>%) &gt;</w:t>
      </w:r>
      <w:r w:rsidR="003A6E4D">
        <w:rPr>
          <w:rStyle w:val="fontstyle01"/>
          <w:rFonts w:asciiTheme="majorBidi" w:hAnsiTheme="majorBidi" w:cstheme="majorBidi"/>
        </w:rPr>
        <w:t>8.88</w:t>
      </w:r>
      <w:r w:rsidR="004B4C1A" w:rsidRPr="00731E89">
        <w:rPr>
          <w:rStyle w:val="fontstyle01"/>
          <w:rFonts w:asciiTheme="majorBidi" w:hAnsiTheme="majorBidi" w:cstheme="majorBidi"/>
        </w:rPr>
        <w:t xml:space="preserve"> </w:t>
      </w:r>
      <w:r w:rsidR="001F4A68" w:rsidRPr="00731E89">
        <w:rPr>
          <w:rStyle w:val="fontstyle01"/>
          <w:rFonts w:asciiTheme="majorBidi" w:hAnsiTheme="majorBidi" w:cstheme="majorBidi"/>
        </w:rPr>
        <w:t xml:space="preserve">(p&lt;0.0001) </w:t>
      </w:r>
      <w:r w:rsidR="004B4C1A" w:rsidRPr="00731E89">
        <w:rPr>
          <w:rStyle w:val="fontstyle01"/>
          <w:rFonts w:asciiTheme="majorBidi" w:hAnsiTheme="majorBidi" w:cstheme="majorBidi"/>
        </w:rPr>
        <w:t>(</w:t>
      </w:r>
      <w:r w:rsidR="00E71C78">
        <w:rPr>
          <w:rStyle w:val="fontstyle01"/>
          <w:rFonts w:asciiTheme="majorBidi" w:hAnsiTheme="majorBidi" w:cstheme="majorBidi"/>
          <w:b/>
          <w:bCs/>
        </w:rPr>
        <w:t>F</w:t>
      </w:r>
      <w:r w:rsidR="004B4C1A" w:rsidRPr="00E71C78">
        <w:rPr>
          <w:rStyle w:val="fontstyle01"/>
          <w:rFonts w:asciiTheme="majorBidi" w:hAnsiTheme="majorBidi" w:cstheme="majorBidi"/>
          <w:b/>
          <w:bCs/>
        </w:rPr>
        <w:t>igure 3</w:t>
      </w:r>
      <w:r w:rsidR="004B4C1A" w:rsidRPr="00731E89">
        <w:rPr>
          <w:rStyle w:val="fontstyle01"/>
          <w:rFonts w:asciiTheme="majorBidi" w:hAnsiTheme="majorBidi" w:cstheme="majorBidi"/>
        </w:rPr>
        <w:t>)</w:t>
      </w:r>
      <w:r w:rsidR="00E70100" w:rsidRPr="00731E89">
        <w:rPr>
          <w:rStyle w:val="fontstyle01"/>
          <w:rFonts w:asciiTheme="majorBidi" w:hAnsiTheme="majorBidi" w:cstheme="majorBidi"/>
        </w:rPr>
        <w:t xml:space="preserve">. </w:t>
      </w:r>
      <w:r w:rsidR="00DD7370" w:rsidRPr="00DD7370">
        <w:rPr>
          <w:rStyle w:val="fontstyle01"/>
          <w:rFonts w:asciiTheme="majorBidi" w:hAnsiTheme="majorBidi" w:cstheme="majorBidi"/>
        </w:rPr>
        <w:t xml:space="preserve">The median GCS in individuals with NLR </w:t>
      </w:r>
      <w:r w:rsidR="00DD7370">
        <w:rPr>
          <w:rStyle w:val="fontstyle01"/>
          <w:rFonts w:asciiTheme="majorBidi" w:hAnsiTheme="majorBidi" w:cstheme="majorBidi"/>
        </w:rPr>
        <w:t>&lt;</w:t>
      </w:r>
      <w:r w:rsidR="00DD7370" w:rsidRPr="00DD7370">
        <w:rPr>
          <w:rStyle w:val="fontstyle01"/>
          <w:rFonts w:asciiTheme="majorBidi" w:hAnsiTheme="majorBidi" w:cstheme="majorBidi"/>
        </w:rPr>
        <w:t xml:space="preserve"> </w:t>
      </w:r>
      <w:r w:rsidR="003A6E4D">
        <w:rPr>
          <w:rStyle w:val="fontstyle01"/>
          <w:rFonts w:asciiTheme="majorBidi" w:hAnsiTheme="majorBidi" w:cstheme="majorBidi"/>
        </w:rPr>
        <w:t>8.88</w:t>
      </w:r>
      <w:r w:rsidR="009F7E06">
        <w:rPr>
          <w:rStyle w:val="fontstyle01"/>
          <w:rFonts w:asciiTheme="majorBidi" w:hAnsiTheme="majorBidi" w:cstheme="majorBidi"/>
        </w:rPr>
        <w:t xml:space="preserve"> </w:t>
      </w:r>
      <w:r w:rsidR="00DD7370" w:rsidRPr="00DD7370">
        <w:rPr>
          <w:rStyle w:val="fontstyle01"/>
          <w:rFonts w:asciiTheme="majorBidi" w:hAnsiTheme="majorBidi" w:cstheme="majorBidi"/>
        </w:rPr>
        <w:t xml:space="preserve">was 5.88, compared to 4.58 in those with NLR </w:t>
      </w:r>
      <w:r w:rsidR="00DD7370">
        <w:rPr>
          <w:rStyle w:val="fontstyle01"/>
          <w:rFonts w:asciiTheme="majorBidi" w:hAnsiTheme="majorBidi" w:cstheme="majorBidi"/>
        </w:rPr>
        <w:t>&gt;</w:t>
      </w:r>
      <w:r w:rsidR="00DD7370" w:rsidRPr="00DD7370">
        <w:rPr>
          <w:rStyle w:val="fontstyle01"/>
          <w:rFonts w:asciiTheme="majorBidi" w:hAnsiTheme="majorBidi" w:cstheme="majorBidi"/>
        </w:rPr>
        <w:t xml:space="preserve"> </w:t>
      </w:r>
      <w:r w:rsidR="003A6E4D">
        <w:rPr>
          <w:rStyle w:val="fontstyle01"/>
          <w:rFonts w:asciiTheme="majorBidi" w:hAnsiTheme="majorBidi" w:cstheme="majorBidi"/>
        </w:rPr>
        <w:t>8.88</w:t>
      </w:r>
      <w:r w:rsidR="00DD7370" w:rsidRPr="00DD7370">
        <w:rPr>
          <w:rStyle w:val="fontstyle01"/>
          <w:rFonts w:asciiTheme="majorBidi" w:hAnsiTheme="majorBidi" w:cstheme="majorBidi"/>
        </w:rPr>
        <w:t xml:space="preserve">. </w:t>
      </w:r>
      <w:r w:rsidR="00DD7370">
        <w:rPr>
          <w:rStyle w:val="fontstyle01"/>
          <w:rFonts w:asciiTheme="majorBidi" w:hAnsiTheme="majorBidi" w:cstheme="majorBidi"/>
        </w:rPr>
        <w:t>In addition</w:t>
      </w:r>
      <w:r w:rsidR="00DD7370" w:rsidRPr="00DD7370">
        <w:rPr>
          <w:rStyle w:val="fontstyle01"/>
          <w:rFonts w:asciiTheme="majorBidi" w:hAnsiTheme="majorBidi" w:cstheme="majorBidi"/>
        </w:rPr>
        <w:t xml:space="preserve">, the number of patients with GCS </w:t>
      </w:r>
      <w:r w:rsidR="00DD7370">
        <w:rPr>
          <w:rStyle w:val="fontstyle01"/>
          <w:rFonts w:asciiTheme="majorBidi" w:hAnsiTheme="majorBidi" w:cstheme="majorBidi"/>
        </w:rPr>
        <w:t>&lt;</w:t>
      </w:r>
      <w:r w:rsidR="00DD7370" w:rsidRPr="00DD7370">
        <w:rPr>
          <w:rStyle w:val="fontstyle01"/>
          <w:rFonts w:asciiTheme="majorBidi" w:hAnsiTheme="majorBidi" w:cstheme="majorBidi"/>
        </w:rPr>
        <w:t>8 was higher</w:t>
      </w:r>
      <w:r w:rsidR="00DD7370">
        <w:rPr>
          <w:rStyle w:val="fontstyle01"/>
          <w:rFonts w:asciiTheme="majorBidi" w:hAnsiTheme="majorBidi" w:cstheme="majorBidi"/>
        </w:rPr>
        <w:t xml:space="preserve"> than the </w:t>
      </w:r>
      <w:r w:rsidR="00DD7370" w:rsidRPr="00DD7370">
        <w:rPr>
          <w:rStyle w:val="fontstyle01"/>
          <w:rFonts w:asciiTheme="majorBidi" w:hAnsiTheme="majorBidi" w:cstheme="majorBidi"/>
        </w:rPr>
        <w:t xml:space="preserve">GCS </w:t>
      </w:r>
      <w:r w:rsidR="00DD7370">
        <w:rPr>
          <w:rStyle w:val="fontstyle01"/>
          <w:rFonts w:asciiTheme="majorBidi" w:hAnsiTheme="majorBidi" w:cstheme="majorBidi"/>
        </w:rPr>
        <w:t>&lt;</w:t>
      </w:r>
      <w:r w:rsidR="00DD7370" w:rsidRPr="00DD7370">
        <w:rPr>
          <w:rStyle w:val="fontstyle01"/>
          <w:rFonts w:asciiTheme="majorBidi" w:hAnsiTheme="majorBidi" w:cstheme="majorBidi"/>
        </w:rPr>
        <w:t xml:space="preserve">8 group. The NLR&gt; </w:t>
      </w:r>
      <w:r w:rsidR="003A6E4D">
        <w:rPr>
          <w:rStyle w:val="fontstyle01"/>
          <w:rFonts w:asciiTheme="majorBidi" w:hAnsiTheme="majorBidi" w:cstheme="majorBidi"/>
        </w:rPr>
        <w:t>8.88</w:t>
      </w:r>
      <w:r w:rsidR="00DD7370" w:rsidRPr="00DD7370">
        <w:rPr>
          <w:rStyle w:val="fontstyle01"/>
          <w:rFonts w:asciiTheme="majorBidi" w:hAnsiTheme="majorBidi" w:cstheme="majorBidi"/>
        </w:rPr>
        <w:t xml:space="preserve"> group had a grea</w:t>
      </w:r>
      <w:r w:rsidR="00DD7370">
        <w:rPr>
          <w:rStyle w:val="fontstyle01"/>
          <w:rFonts w:asciiTheme="majorBidi" w:hAnsiTheme="majorBidi" w:cstheme="majorBidi"/>
        </w:rPr>
        <w:t xml:space="preserve">ter mortality rate </w:t>
      </w:r>
      <w:r w:rsidR="004B4C1A" w:rsidRPr="00731E89">
        <w:rPr>
          <w:rStyle w:val="fontstyle01"/>
          <w:rFonts w:asciiTheme="majorBidi" w:hAnsiTheme="majorBidi" w:cstheme="majorBidi"/>
        </w:rPr>
        <w:t>in</w:t>
      </w:r>
      <w:r w:rsidR="00EB41C2" w:rsidRPr="00731E89">
        <w:rPr>
          <w:rStyle w:val="fontstyle01"/>
          <w:rFonts w:asciiTheme="majorBidi" w:hAnsiTheme="majorBidi" w:cstheme="majorBidi"/>
        </w:rPr>
        <w:t xml:space="preserve"> terms of coma</w:t>
      </w:r>
      <w:r w:rsidR="00E70100" w:rsidRPr="00731E89">
        <w:rPr>
          <w:rStyle w:val="fontstyle01"/>
          <w:rFonts w:asciiTheme="majorBidi" w:hAnsiTheme="majorBidi" w:cstheme="majorBidi"/>
        </w:rPr>
        <w:t xml:space="preserve"> (</w:t>
      </w:r>
      <w:r w:rsidR="00EB41C2" w:rsidRPr="00731E89">
        <w:rPr>
          <w:rStyle w:val="fontstyle01"/>
          <w:rFonts w:asciiTheme="majorBidi" w:hAnsiTheme="majorBidi" w:cstheme="majorBidi"/>
        </w:rPr>
        <w:t xml:space="preserve">30 </w:t>
      </w:r>
      <w:r w:rsidR="00E70100" w:rsidRPr="00731E89">
        <w:rPr>
          <w:rStyle w:val="fontstyle01"/>
          <w:rFonts w:asciiTheme="majorBidi" w:hAnsiTheme="majorBidi" w:cstheme="majorBidi"/>
        </w:rPr>
        <w:t xml:space="preserve">%) and </w:t>
      </w:r>
      <w:proofErr w:type="spellStart"/>
      <w:r w:rsidR="00EB41C2" w:rsidRPr="00731E89">
        <w:rPr>
          <w:rStyle w:val="fontstyle01"/>
          <w:rFonts w:asciiTheme="majorBidi" w:hAnsiTheme="majorBidi" w:cstheme="majorBidi"/>
        </w:rPr>
        <w:t>semicoma</w:t>
      </w:r>
      <w:proofErr w:type="spellEnd"/>
      <w:r w:rsidR="00E70100" w:rsidRPr="00731E89">
        <w:rPr>
          <w:rFonts w:asciiTheme="majorBidi" w:hAnsiTheme="majorBidi" w:cstheme="majorBidi"/>
          <w:color w:val="000000"/>
          <w:sz w:val="24"/>
          <w:szCs w:val="24"/>
        </w:rPr>
        <w:t xml:space="preserve"> </w:t>
      </w:r>
      <w:r w:rsidR="00E70100" w:rsidRPr="00731E89">
        <w:rPr>
          <w:rStyle w:val="fontstyle01"/>
          <w:rFonts w:asciiTheme="majorBidi" w:hAnsiTheme="majorBidi" w:cstheme="majorBidi"/>
        </w:rPr>
        <w:t>(</w:t>
      </w:r>
      <w:r w:rsidR="00EB41C2" w:rsidRPr="00731E89">
        <w:rPr>
          <w:rStyle w:val="fontstyle01"/>
          <w:rFonts w:asciiTheme="majorBidi" w:hAnsiTheme="majorBidi" w:cstheme="majorBidi"/>
        </w:rPr>
        <w:t>70</w:t>
      </w:r>
      <w:r w:rsidR="00E70100" w:rsidRPr="00731E89">
        <w:rPr>
          <w:rStyle w:val="fontstyle01"/>
          <w:rFonts w:asciiTheme="majorBidi" w:hAnsiTheme="majorBidi" w:cstheme="majorBidi"/>
        </w:rPr>
        <w:t>%) (p&lt;0.0</w:t>
      </w:r>
      <w:r w:rsidR="00EB41C2" w:rsidRPr="00731E89">
        <w:rPr>
          <w:rStyle w:val="fontstyle01"/>
          <w:rFonts w:asciiTheme="majorBidi" w:hAnsiTheme="majorBidi" w:cstheme="majorBidi"/>
        </w:rPr>
        <w:t xml:space="preserve">001) </w:t>
      </w:r>
      <w:r w:rsidR="00E70100" w:rsidRPr="00731E89">
        <w:rPr>
          <w:rStyle w:val="fontstyle01"/>
          <w:rFonts w:asciiTheme="majorBidi" w:hAnsiTheme="majorBidi" w:cstheme="majorBidi"/>
        </w:rPr>
        <w:t>(</w:t>
      </w:r>
      <w:r w:rsidR="00E70100" w:rsidRPr="00E71C78">
        <w:rPr>
          <w:rStyle w:val="fontstyle01"/>
          <w:rFonts w:asciiTheme="majorBidi" w:hAnsiTheme="majorBidi" w:cstheme="majorBidi"/>
          <w:b/>
          <w:bCs/>
        </w:rPr>
        <w:t xml:space="preserve">Table </w:t>
      </w:r>
      <w:r w:rsidR="004B4C1A" w:rsidRPr="00E71C78">
        <w:rPr>
          <w:rStyle w:val="fontstyle01"/>
          <w:rFonts w:asciiTheme="majorBidi" w:hAnsiTheme="majorBidi" w:cstheme="majorBidi"/>
          <w:b/>
          <w:bCs/>
        </w:rPr>
        <w:t>4</w:t>
      </w:r>
      <w:r w:rsidR="00E70100" w:rsidRPr="00731E89">
        <w:rPr>
          <w:rStyle w:val="fontstyle01"/>
          <w:rFonts w:asciiTheme="majorBidi" w:hAnsiTheme="majorBidi" w:cstheme="majorBidi"/>
        </w:rPr>
        <w:t>)</w:t>
      </w:r>
      <w:r w:rsidR="00EB41C2" w:rsidRPr="00731E89">
        <w:rPr>
          <w:rStyle w:val="fontstyle01"/>
          <w:rFonts w:asciiTheme="majorBidi" w:hAnsiTheme="majorBidi" w:cstheme="majorBidi"/>
        </w:rPr>
        <w:t>.</w:t>
      </w:r>
    </w:p>
    <w:p w14:paraId="0937EB81" w14:textId="77777777" w:rsidR="00E70100" w:rsidRPr="001807FE" w:rsidRDefault="00E70100" w:rsidP="001807FE">
      <w:pPr>
        <w:spacing w:line="360" w:lineRule="auto"/>
        <w:jc w:val="both"/>
        <w:rPr>
          <w:rFonts w:asciiTheme="majorBidi" w:hAnsiTheme="majorBidi" w:cstheme="majorBidi"/>
          <w:b/>
          <w:bCs/>
          <w:sz w:val="24"/>
          <w:szCs w:val="24"/>
        </w:rPr>
      </w:pPr>
      <w:r w:rsidRPr="001807FE">
        <w:rPr>
          <w:rFonts w:asciiTheme="majorBidi" w:hAnsiTheme="majorBidi" w:cstheme="majorBidi"/>
          <w:b/>
          <w:bCs/>
          <w:sz w:val="24"/>
          <w:szCs w:val="24"/>
        </w:rPr>
        <w:t xml:space="preserve">Discussion </w:t>
      </w:r>
    </w:p>
    <w:p w14:paraId="41526730" w14:textId="77777777" w:rsidR="00E70100" w:rsidRPr="001807FE" w:rsidRDefault="003C1A24" w:rsidP="009C0CB3">
      <w:pPr>
        <w:spacing w:line="360" w:lineRule="auto"/>
        <w:jc w:val="both"/>
        <w:rPr>
          <w:rFonts w:asciiTheme="majorBidi" w:hAnsiTheme="majorBidi" w:cstheme="majorBidi"/>
          <w:sz w:val="24"/>
          <w:szCs w:val="24"/>
        </w:rPr>
      </w:pPr>
      <w:r w:rsidRPr="001807FE">
        <w:rPr>
          <w:rFonts w:asciiTheme="majorBidi" w:hAnsiTheme="majorBidi" w:cstheme="majorBidi"/>
          <w:sz w:val="24"/>
          <w:szCs w:val="24"/>
        </w:rPr>
        <w:t>To the best of our knowledge, this is the first study to investigate the connections between high NL</w:t>
      </w:r>
      <w:r w:rsidR="0049308D">
        <w:rPr>
          <w:rFonts w:asciiTheme="majorBidi" w:hAnsiTheme="majorBidi" w:cstheme="majorBidi"/>
          <w:sz w:val="24"/>
          <w:szCs w:val="24"/>
        </w:rPr>
        <w:t>R and GSC scores in the CSF of hydrocephalus</w:t>
      </w:r>
      <w:r w:rsidRPr="001807FE">
        <w:rPr>
          <w:rFonts w:asciiTheme="majorBidi" w:hAnsiTheme="majorBidi" w:cstheme="majorBidi"/>
          <w:sz w:val="24"/>
          <w:szCs w:val="24"/>
        </w:rPr>
        <w:t xml:space="preserve"> patients following EVD. In this study, we discovered that a higher NLR combined </w:t>
      </w:r>
      <w:r w:rsidR="006A1D91">
        <w:rPr>
          <w:rFonts w:asciiTheme="majorBidi" w:hAnsiTheme="majorBidi" w:cstheme="majorBidi"/>
          <w:sz w:val="24"/>
          <w:szCs w:val="24"/>
        </w:rPr>
        <w:t>with</w:t>
      </w:r>
      <w:r w:rsidRPr="001807FE">
        <w:rPr>
          <w:rFonts w:asciiTheme="majorBidi" w:hAnsiTheme="majorBidi" w:cstheme="majorBidi"/>
          <w:sz w:val="24"/>
          <w:szCs w:val="24"/>
        </w:rPr>
        <w:t xml:space="preserve"> GSC score was substantially linked with death, </w:t>
      </w:r>
      <w:r w:rsidRPr="001807FE">
        <w:rPr>
          <w:rFonts w:asciiTheme="majorBidi" w:hAnsiTheme="majorBidi" w:cstheme="majorBidi"/>
          <w:sz w:val="24"/>
          <w:szCs w:val="24"/>
        </w:rPr>
        <w:lastRenderedPageBreak/>
        <w:t xml:space="preserve">implying that neutrophils and lymphocytes may play a role in the poor prognosis. In the first step, we identified many risk variables for acute symptomatic hydrocephalus after EVD. According to our univariate </w:t>
      </w:r>
      <w:r w:rsidR="00DD7370">
        <w:rPr>
          <w:rFonts w:asciiTheme="majorBidi" w:hAnsiTheme="majorBidi" w:cstheme="majorBidi"/>
          <w:sz w:val="24"/>
          <w:szCs w:val="24"/>
        </w:rPr>
        <w:t>analysis</w:t>
      </w:r>
      <w:r w:rsidRPr="001807FE">
        <w:rPr>
          <w:rFonts w:asciiTheme="majorBidi" w:hAnsiTheme="majorBidi" w:cstheme="majorBidi"/>
          <w:sz w:val="24"/>
          <w:szCs w:val="24"/>
        </w:rPr>
        <w:t xml:space="preserve">, </w:t>
      </w:r>
      <w:r w:rsidR="0049308D" w:rsidRPr="00DD7370">
        <w:rPr>
          <w:rFonts w:asciiTheme="majorBidi" w:hAnsiTheme="majorBidi" w:cstheme="majorBidi"/>
          <w:sz w:val="24"/>
          <w:szCs w:val="24"/>
        </w:rPr>
        <w:t>the</w:t>
      </w:r>
      <w:r w:rsidR="00DD7370" w:rsidRPr="00DD7370">
        <w:rPr>
          <w:rFonts w:asciiTheme="majorBidi" w:hAnsiTheme="majorBidi" w:cstheme="majorBidi"/>
          <w:sz w:val="24"/>
          <w:szCs w:val="24"/>
        </w:rPr>
        <w:t xml:space="preserve"> affected patients had a mean age of 51.6 years</w:t>
      </w:r>
      <w:r w:rsidRPr="001807FE">
        <w:rPr>
          <w:rFonts w:asciiTheme="majorBidi" w:hAnsiTheme="majorBidi" w:cstheme="majorBidi"/>
          <w:sz w:val="24"/>
          <w:szCs w:val="24"/>
        </w:rPr>
        <w:t xml:space="preserve">, with 60% being men. The average age and gender of patients can be important determinants </w:t>
      </w:r>
      <w:r w:rsidR="006A1D91">
        <w:rPr>
          <w:rFonts w:asciiTheme="majorBidi" w:hAnsiTheme="majorBidi" w:cstheme="majorBidi"/>
          <w:sz w:val="24"/>
          <w:szCs w:val="24"/>
        </w:rPr>
        <w:t>of</w:t>
      </w:r>
      <w:r w:rsidRPr="001807FE">
        <w:rPr>
          <w:rFonts w:asciiTheme="majorBidi" w:hAnsiTheme="majorBidi" w:cstheme="majorBidi"/>
          <w:sz w:val="24"/>
          <w:szCs w:val="24"/>
        </w:rPr>
        <w:t xml:space="preserve"> mortality. According to the findings, comparing the average ages of patients with mortality and surviving patients revealed a significant difference (P = 0.038) and that the average age of patients with mortality was higher. At older ages, the increase in the probability of mortality in men appears to be inversely proportional to the increase in the probability of discharge, implying that men die more frequently in hospitals</w:t>
      </w:r>
      <w:r w:rsidR="00667369">
        <w:rPr>
          <w:rFonts w:asciiTheme="majorBidi" w:hAnsiTheme="majorBidi" w:cstheme="majorBidi"/>
          <w:sz w:val="24"/>
          <w:szCs w:val="24"/>
        </w:rPr>
        <w:t xml:space="preserve"> </w:t>
      </w:r>
      <w:r w:rsidR="00667369">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&lt;EndNote&gt;&lt;Cite&gt;&lt;Author&gt;Goldstein&lt;/Author&gt;&lt;Year&gt;2013&lt;/Year&gt;&lt;RecNum&gt;19&lt;/RecNum&gt;&lt;DisplayText&gt;(19)&lt;/DisplayText&gt;&lt;record&gt;&lt;rec-number&gt;19&lt;/rec-number&gt;&lt;foreign-keys&gt;&lt;key app="EN" db-id="rr0ve5twvwadv9eezf4x2wz3awv0sxessv5p" timestamp="1687796364"&gt;19&lt;/key&gt;&lt;/foreign-keys&gt;&lt;ref-type name="Journal Article"&gt;17&lt;/ref-type&gt;&lt;contributors&gt;&lt;authors&gt;&lt;author&gt;Goldstein, RF&lt;/author&gt;&lt;author&gt;Cotten, CM&lt;/author&gt;&lt;author&gt;Shankaran, S&lt;/author&gt;&lt;author&gt;Gantz, MG&lt;/author&gt;&lt;author&gt;Poole, WK&lt;/author&gt;&lt;/authors&gt;&lt;/contributors&gt;&lt;titles&gt;&lt;title&gt;Influence of gestational age on death and neurodevelopmental outcome in premature infants with severe intracranial hemorrhage&lt;/title&gt;&lt;secondary-title&gt;Journal of Perinatology&lt;/secondary-title&gt;&lt;/titles&gt;&lt;periodical&gt;&lt;full-title&gt;Journal of Perinatology&lt;/full-title&gt;&lt;/periodical&gt;&lt;pages&gt;25-32&lt;/pages&gt;&lt;volume&gt;33&lt;/volume&gt;&lt;number&gt;1&lt;/number&gt;&lt;dates&gt;&lt;year&gt;2013&lt;/year&gt;&lt;/dates&gt;&lt;isbn&gt;1476-5543&lt;/isbn&gt;&lt;urls&gt;&lt;/urls&gt;&lt;/record&gt;&lt;/Cite&gt;&lt;/EndNote&gt;</w:instrText>
      </w:r>
      <w:r w:rsidR="00667369">
        <w:rPr>
          <w:rFonts w:asciiTheme="majorBidi" w:hAnsiTheme="majorBidi" w:cstheme="majorBidi"/>
          <w:sz w:val="24"/>
          <w:szCs w:val="24"/>
        </w:rPr>
        <w:fldChar w:fldCharType="separate"/>
      </w:r>
      <w:r w:rsidR="009C0CB3">
        <w:rPr>
          <w:rFonts w:asciiTheme="majorBidi" w:hAnsiTheme="majorBidi" w:cstheme="majorBidi"/>
          <w:noProof/>
          <w:sz w:val="24"/>
          <w:szCs w:val="24"/>
        </w:rPr>
        <w:t>(19)</w:t>
      </w:r>
      <w:r w:rsidR="00667369">
        <w:rPr>
          <w:rFonts w:asciiTheme="majorBidi" w:hAnsiTheme="majorBidi" w:cstheme="majorBidi"/>
          <w:sz w:val="24"/>
          <w:szCs w:val="24"/>
        </w:rPr>
        <w:fldChar w:fldCharType="end"/>
      </w:r>
      <w:r w:rsidRPr="001807FE">
        <w:rPr>
          <w:rFonts w:asciiTheme="majorBidi" w:hAnsiTheme="majorBidi" w:cstheme="majorBidi"/>
          <w:sz w:val="24"/>
          <w:szCs w:val="24"/>
        </w:rPr>
        <w:t xml:space="preserve">. We examined several of these cases, which included primary disease, a history of covid-19 infection, and organ failure. The findings revealed that more than 80% of the patients did not report a history of organ failure or even the covid-19 virus. To some extent, these circumstances can mitigate the disturbing effect of organ failure on patient mortality. Furthermore, there was no significant difference in gender between those who died and those who </w:t>
      </w:r>
      <w:r w:rsidR="006A1D91">
        <w:rPr>
          <w:rFonts w:asciiTheme="majorBidi" w:hAnsiTheme="majorBidi" w:cstheme="majorBidi"/>
          <w:sz w:val="24"/>
          <w:szCs w:val="24"/>
        </w:rPr>
        <w:t xml:space="preserve">were </w:t>
      </w:r>
      <w:r w:rsidR="00957DED">
        <w:rPr>
          <w:rFonts w:asciiTheme="majorBidi" w:hAnsiTheme="majorBidi" w:cstheme="majorBidi"/>
          <w:sz w:val="24"/>
          <w:szCs w:val="24"/>
        </w:rPr>
        <w:t>alive</w:t>
      </w:r>
      <w:r w:rsidRPr="001807FE">
        <w:rPr>
          <w:rFonts w:asciiTheme="majorBidi" w:hAnsiTheme="majorBidi" w:cstheme="majorBidi"/>
          <w:sz w:val="24"/>
          <w:szCs w:val="24"/>
        </w:rPr>
        <w:t xml:space="preserve">. A similar study found that the general connection between age and premature death </w:t>
      </w:r>
      <w:r w:rsidR="00020FAE">
        <w:rPr>
          <w:rFonts w:asciiTheme="majorBidi" w:hAnsiTheme="majorBidi" w:cstheme="majorBidi"/>
          <w:sz w:val="24"/>
          <w:szCs w:val="24"/>
        </w:rPr>
        <w:t>is similar in men and women</w:t>
      </w:r>
      <w:r w:rsidRPr="001807FE">
        <w:rPr>
          <w:rFonts w:asciiTheme="majorBidi" w:hAnsiTheme="majorBidi" w:cstheme="majorBidi"/>
          <w:sz w:val="24"/>
          <w:szCs w:val="24"/>
        </w:rPr>
        <w:t>. James et al</w:t>
      </w:r>
      <w:r w:rsidR="00C92637">
        <w:rPr>
          <w:rFonts w:asciiTheme="majorBidi" w:hAnsiTheme="majorBidi" w:cstheme="majorBidi"/>
          <w:sz w:val="24"/>
          <w:szCs w:val="24"/>
        </w:rPr>
        <w:t>.</w:t>
      </w:r>
      <w:r w:rsidRPr="001807FE">
        <w:rPr>
          <w:rFonts w:asciiTheme="majorBidi" w:hAnsiTheme="majorBidi" w:cstheme="majorBidi"/>
          <w:sz w:val="24"/>
          <w:szCs w:val="24"/>
        </w:rPr>
        <w:t xml:space="preserve"> examined the relationship between </w:t>
      </w:r>
      <w:r w:rsidR="006A1D91">
        <w:rPr>
          <w:rFonts w:asciiTheme="majorBidi" w:hAnsiTheme="majorBidi" w:cstheme="majorBidi"/>
          <w:sz w:val="24"/>
          <w:szCs w:val="24"/>
        </w:rPr>
        <w:t xml:space="preserve">the </w:t>
      </w:r>
      <w:r w:rsidRPr="001807FE">
        <w:rPr>
          <w:rFonts w:asciiTheme="majorBidi" w:hAnsiTheme="majorBidi" w:cstheme="majorBidi"/>
          <w:sz w:val="24"/>
          <w:szCs w:val="24"/>
        </w:rPr>
        <w:t xml:space="preserve">age and gender of people with cerebral hemorrhage and concluded that as men and women age, the rate of in-hospital death increases slightly more in men than in women </w:t>
      </w:r>
      <w:r w:rsidR="00C92637">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&lt;EndNote&gt;&lt;Cite&gt;&lt;Author&gt;Simon&lt;/Author&gt;&lt;Year&gt;2006&lt;/Year&gt;&lt;RecNum&gt;20&lt;/RecNum&gt;&lt;DisplayText&gt;(20)&lt;/DisplayText&gt;&lt;record&gt;&lt;rec-number&gt;20&lt;/rec-number&gt;&lt;foreign-keys&gt;&lt;key app="EN" db-id="rr0ve5twvwadv9eezf4x2wz3awv0sxessv5p" timestamp="1687797332"&gt;20&lt;/key&gt;&lt;/foreign-keys&gt;&lt;ref-type name="Journal Article"&gt;17&lt;/ref-type&gt;&lt;contributors&gt;&lt;authors&gt;&lt;author&gt;Simon, Tabassome&lt;/author&gt;&lt;author&gt;Mary-Krause, Murielle&lt;/author&gt;&lt;author&gt;Cambou, Jean-Pierre&lt;/author&gt;&lt;author&gt;Hanania, Guy&lt;/author&gt;&lt;author&gt;Guéret, Pascal&lt;/author&gt;&lt;author&gt;Lablanche, Jean-Marc&lt;/author&gt;&lt;author&gt;Blanchard, Didier&lt;/author&gt;&lt;author&gt;Genès, Nathalie&lt;/author&gt;&lt;author&gt;Danchin, Nicolas&lt;/author&gt;&lt;/authors&gt;&lt;/contributors&gt;&lt;titles&gt;&lt;title&gt;Impact of age and gender on in-hospital and late mortality after acute myocardial infarction: increased early risk in younger women: results from the French nation-wide USIC registries&lt;/title&gt;&lt;secondary-title&gt;European heart journal&lt;/secondary-title&gt;&lt;/titles&gt;&lt;periodical&gt;&lt;full-title&gt;European heart journal&lt;/full-title&gt;&lt;/periodical&gt;&lt;pages&gt;1282-1288&lt;/pages&gt;&lt;volume&gt;27&lt;/volume&gt;&lt;number&gt;11&lt;/number&gt;&lt;dates&gt;&lt;year&gt;2006&lt;/year&gt;&lt;/dates&gt;&lt;isbn&gt;1522-9645&lt;/isbn&gt;&lt;urls&gt;&lt;/urls&gt;&lt;/record&gt;&lt;/Cite&gt;&lt;/EndNote&gt;</w:instrText>
      </w:r>
      <w:r w:rsidR="00C92637">
        <w:rPr>
          <w:rFonts w:asciiTheme="majorBidi" w:hAnsiTheme="majorBidi" w:cstheme="majorBidi"/>
          <w:sz w:val="24"/>
          <w:szCs w:val="24"/>
        </w:rPr>
        <w:fldChar w:fldCharType="separate"/>
      </w:r>
      <w:r w:rsidR="009C0CB3">
        <w:rPr>
          <w:rFonts w:asciiTheme="majorBidi" w:hAnsiTheme="majorBidi" w:cstheme="majorBidi"/>
          <w:noProof/>
          <w:sz w:val="24"/>
          <w:szCs w:val="24"/>
        </w:rPr>
        <w:t>(20)</w:t>
      </w:r>
      <w:r w:rsidR="00C92637">
        <w:rPr>
          <w:rFonts w:asciiTheme="majorBidi" w:hAnsiTheme="majorBidi" w:cstheme="majorBidi"/>
          <w:sz w:val="24"/>
          <w:szCs w:val="24"/>
        </w:rPr>
        <w:fldChar w:fldCharType="end"/>
      </w:r>
      <w:r w:rsidR="00E70100" w:rsidRPr="001807FE">
        <w:rPr>
          <w:rFonts w:asciiTheme="majorBidi" w:hAnsiTheme="majorBidi" w:cstheme="majorBidi"/>
          <w:sz w:val="24"/>
          <w:szCs w:val="24"/>
        </w:rPr>
        <w:t>.</w:t>
      </w:r>
    </w:p>
    <w:p w14:paraId="114D868A" w14:textId="77777777" w:rsidR="00E70100" w:rsidRPr="001807FE" w:rsidRDefault="00C35312" w:rsidP="009C0CB3">
      <w:pPr>
        <w:spacing w:line="360" w:lineRule="auto"/>
        <w:jc w:val="both"/>
        <w:rPr>
          <w:rFonts w:asciiTheme="majorBidi" w:hAnsiTheme="majorBidi" w:cstheme="majorBidi"/>
          <w:sz w:val="24"/>
          <w:szCs w:val="24"/>
        </w:rPr>
      </w:pPr>
      <w:r w:rsidRPr="001807FE">
        <w:rPr>
          <w:rFonts w:asciiTheme="majorBidi" w:hAnsiTheme="majorBidi" w:cstheme="majorBidi"/>
          <w:sz w:val="24"/>
          <w:szCs w:val="24"/>
        </w:rPr>
        <w:t xml:space="preserve">We also discovered that the average level of consciousness in patients who died was lower than in those who </w:t>
      </w:r>
      <w:r w:rsidR="006A1D91">
        <w:rPr>
          <w:rFonts w:asciiTheme="majorBidi" w:hAnsiTheme="majorBidi" w:cstheme="majorBidi"/>
          <w:sz w:val="24"/>
          <w:szCs w:val="24"/>
        </w:rPr>
        <w:t xml:space="preserve">were </w:t>
      </w:r>
      <w:r w:rsidR="00957DED">
        <w:rPr>
          <w:rFonts w:asciiTheme="majorBidi" w:hAnsiTheme="majorBidi" w:cstheme="majorBidi"/>
          <w:sz w:val="24"/>
          <w:szCs w:val="24"/>
        </w:rPr>
        <w:t>alive</w:t>
      </w:r>
      <w:r w:rsidRPr="001807FE">
        <w:rPr>
          <w:rFonts w:asciiTheme="majorBidi" w:hAnsiTheme="majorBidi" w:cstheme="majorBidi"/>
          <w:sz w:val="24"/>
          <w:szCs w:val="24"/>
        </w:rPr>
        <w:t xml:space="preserve"> (P </w:t>
      </w:r>
      <w:r w:rsidR="00020FAE">
        <w:rPr>
          <w:rFonts w:asciiTheme="majorBidi" w:hAnsiTheme="majorBidi" w:cstheme="majorBidi"/>
          <w:sz w:val="24"/>
          <w:szCs w:val="24"/>
        </w:rPr>
        <w:t>&lt;</w:t>
      </w:r>
      <w:r w:rsidRPr="001807FE">
        <w:rPr>
          <w:rFonts w:asciiTheme="majorBidi" w:hAnsiTheme="majorBidi" w:cstheme="majorBidi"/>
          <w:sz w:val="24"/>
          <w:szCs w:val="24"/>
        </w:rPr>
        <w:t xml:space="preserve">0.001). </w:t>
      </w:r>
      <w:r w:rsidR="00DD7370" w:rsidRPr="00DD7370">
        <w:rPr>
          <w:rFonts w:asciiTheme="majorBidi" w:hAnsiTheme="majorBidi" w:cstheme="majorBidi"/>
          <w:sz w:val="24"/>
          <w:szCs w:val="24"/>
        </w:rPr>
        <w:t xml:space="preserve">The GCS was the initial objective scoring index used to evaluate patients' levels of consciousness. </w:t>
      </w:r>
      <w:r w:rsidR="00222F89">
        <w:rPr>
          <w:rFonts w:asciiTheme="majorBidi" w:hAnsiTheme="majorBidi" w:cstheme="majorBidi"/>
          <w:sz w:val="24"/>
          <w:szCs w:val="24"/>
        </w:rPr>
        <w:t>According to the</w:t>
      </w:r>
      <w:r w:rsidRPr="001807FE">
        <w:rPr>
          <w:rFonts w:asciiTheme="majorBidi" w:hAnsiTheme="majorBidi" w:cstheme="majorBidi"/>
          <w:sz w:val="24"/>
          <w:szCs w:val="24"/>
        </w:rPr>
        <w:t xml:space="preserve"> </w:t>
      </w:r>
      <w:r w:rsidR="00D06D25">
        <w:rPr>
          <w:rFonts w:asciiTheme="majorBidi" w:hAnsiTheme="majorBidi" w:cstheme="majorBidi"/>
          <w:sz w:val="24"/>
          <w:szCs w:val="24"/>
        </w:rPr>
        <w:t xml:space="preserve">Teasdale </w:t>
      </w:r>
      <w:r w:rsidRPr="001807FE">
        <w:rPr>
          <w:rFonts w:asciiTheme="majorBidi" w:hAnsiTheme="majorBidi" w:cstheme="majorBidi"/>
          <w:sz w:val="24"/>
          <w:szCs w:val="24"/>
        </w:rPr>
        <w:t>et al</w:t>
      </w:r>
      <w:r w:rsidR="00222F89">
        <w:rPr>
          <w:rFonts w:asciiTheme="majorBidi" w:hAnsiTheme="majorBidi" w:cstheme="majorBidi"/>
          <w:sz w:val="24"/>
          <w:szCs w:val="24"/>
        </w:rPr>
        <w:t>.,</w:t>
      </w:r>
      <w:r w:rsidRPr="001807FE">
        <w:rPr>
          <w:rFonts w:asciiTheme="majorBidi" w:hAnsiTheme="majorBidi" w:cstheme="majorBidi"/>
          <w:sz w:val="24"/>
          <w:szCs w:val="24"/>
        </w:rPr>
        <w:t xml:space="preserve"> </w:t>
      </w:r>
      <w:r w:rsidR="00222F89">
        <w:rPr>
          <w:rFonts w:asciiTheme="majorBidi" w:hAnsiTheme="majorBidi" w:cstheme="majorBidi"/>
          <w:sz w:val="24"/>
          <w:szCs w:val="24"/>
        </w:rPr>
        <w:t xml:space="preserve">there was </w:t>
      </w:r>
      <w:r w:rsidRPr="001807FE">
        <w:rPr>
          <w:rFonts w:asciiTheme="majorBidi" w:hAnsiTheme="majorBidi" w:cstheme="majorBidi"/>
          <w:sz w:val="24"/>
          <w:szCs w:val="24"/>
        </w:rPr>
        <w:t>a link between GCS score measurement and clinical outcomes, demonstrating a link between a drop in GCS score and an increase in mortality</w:t>
      </w:r>
      <w:r w:rsidR="00D06D25">
        <w:rPr>
          <w:rFonts w:asciiTheme="majorBidi" w:hAnsiTheme="majorBidi" w:cstheme="majorBidi"/>
          <w:sz w:val="24"/>
          <w:szCs w:val="24"/>
        </w:rPr>
        <w:t xml:space="preserve"> </w:t>
      </w:r>
      <w:r w:rsidR="00D06D25">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&lt;EndNote&gt;&lt;Cite&gt;&lt;Author&gt;Teasdale&lt;/Author&gt;&lt;Year&gt;1974&lt;/Year&gt;&lt;RecNum&gt;21&lt;/RecNum&gt;&lt;DisplayText&gt;(21)&lt;/DisplayText&gt;&lt;record&gt;&lt;rec-number&gt;21&lt;/rec-number&gt;&lt;foreign-keys&gt;&lt;key app="EN" db-id="rr0ve5twvwadv9eezf4x2wz3awv0sxessv5p" timestamp="1687801954"&gt;21&lt;/key&gt;&lt;/foreign-keys&gt;&lt;ref-type name="Journal Article"&gt;17&lt;/ref-type&gt;&lt;contributors&gt;&lt;authors&gt;&lt;author&gt;Teasdale, Graham&lt;/author&gt;&lt;author&gt;Jennett, Bryan&lt;/author&gt;&lt;/authors&gt;&lt;/contributors&gt;&lt;titles&gt;&lt;title&gt;Assessment of coma and impaired consciousness: a practical scale&lt;/title&gt;&lt;secondary-title&gt;The Lancet&lt;/secondary-title&gt;&lt;/titles&gt;&lt;periodical&gt;&lt;full-title&gt;The Lancet&lt;/full-title&gt;&lt;/periodical&gt;&lt;pages&gt;81-84&lt;/pages&gt;&lt;volume&gt;304&lt;/volume&gt;&lt;number&gt;7872&lt;/number&gt;&lt;dates&gt;&lt;year&gt;1974&lt;/year&gt;&lt;/dates&gt;&lt;isbn&gt;0140-6736&lt;/isbn&gt;&lt;urls&gt;&lt;/urls&gt;&lt;/record&gt;&lt;/Cite&gt;&lt;/EndNote&gt;</w:instrText>
      </w:r>
      <w:r w:rsidR="00D06D25">
        <w:rPr>
          <w:rFonts w:asciiTheme="majorBidi" w:hAnsiTheme="majorBidi" w:cstheme="majorBidi"/>
          <w:sz w:val="24"/>
          <w:szCs w:val="24"/>
        </w:rPr>
        <w:fldChar w:fldCharType="separate"/>
      </w:r>
      <w:r w:rsidR="009C0CB3">
        <w:rPr>
          <w:rFonts w:asciiTheme="majorBidi" w:hAnsiTheme="majorBidi" w:cstheme="majorBidi"/>
          <w:noProof/>
          <w:sz w:val="24"/>
          <w:szCs w:val="24"/>
        </w:rPr>
        <w:t>(21)</w:t>
      </w:r>
      <w:r w:rsidR="00D06D25">
        <w:rPr>
          <w:rFonts w:asciiTheme="majorBidi" w:hAnsiTheme="majorBidi" w:cstheme="majorBidi"/>
          <w:sz w:val="24"/>
          <w:szCs w:val="24"/>
        </w:rPr>
        <w:fldChar w:fldCharType="end"/>
      </w:r>
      <w:r w:rsidRPr="001807FE">
        <w:rPr>
          <w:rFonts w:asciiTheme="majorBidi" w:hAnsiTheme="majorBidi" w:cstheme="majorBidi"/>
          <w:sz w:val="24"/>
          <w:szCs w:val="24"/>
        </w:rPr>
        <w:t xml:space="preserve">. </w:t>
      </w:r>
      <w:r w:rsidR="00222F89" w:rsidRPr="00222F89">
        <w:rPr>
          <w:rFonts w:asciiTheme="majorBidi" w:hAnsiTheme="majorBidi" w:cstheme="majorBidi"/>
          <w:sz w:val="24"/>
          <w:szCs w:val="24"/>
        </w:rPr>
        <w:t>A low GCS score has been confirmed to be an independent predictor of poor prognosis in hemodialysis patients with SAH and tra</w:t>
      </w:r>
      <w:r w:rsidR="00222F89">
        <w:rPr>
          <w:rFonts w:asciiTheme="majorBidi" w:hAnsiTheme="majorBidi" w:cstheme="majorBidi"/>
          <w:sz w:val="24"/>
          <w:szCs w:val="24"/>
        </w:rPr>
        <w:t>umatic intracranial hemorrhage</w:t>
      </w:r>
      <w:r w:rsidR="00D06D25">
        <w:rPr>
          <w:rFonts w:asciiTheme="majorBidi" w:hAnsiTheme="majorBidi" w:cstheme="majorBidi"/>
          <w:sz w:val="24"/>
          <w:szCs w:val="24"/>
        </w:rPr>
        <w:t xml:space="preserve"> </w:t>
      </w:r>
      <w:r w:rsidR="00D06D25">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&lt;EndNote&gt;&lt;Cite&gt;&lt;Author&gt;Huang&lt;/Author&gt;&lt;Year&gt;2008&lt;/Year&gt;&lt;RecNum&gt;22&lt;/RecNum&gt;&lt;DisplayText&gt;(22, 23)&lt;/DisplayText&gt;&lt;record&gt;&lt;rec-number&gt;22&lt;/rec-number&gt;&lt;foreign-keys&gt;&lt;key app="EN" db-id="rr0ve5twvwadv9eezf4x2wz3awv0sxessv5p" timestamp="1687802046"&gt;22&lt;/key&gt;&lt;/foreign-keys&gt;&lt;ref-type name="Journal Article"&gt;17&lt;/ref-type&gt;&lt;contributors&gt;&lt;authors&gt;&lt;author&gt;Huang, B</w:instrText>
      </w:r>
      <w:r w:rsidR="009C0CB3">
        <w:rPr>
          <w:rFonts w:ascii="Cambria Math" w:hAnsi="Cambria Math" w:cs="Cambria Math"/>
          <w:sz w:val="24"/>
          <w:szCs w:val="24"/>
        </w:rPr>
        <w:instrText>‐</w:instrText>
      </w:r>
      <w:r w:rsidR="009C0CB3">
        <w:rPr>
          <w:rFonts w:asciiTheme="majorBidi" w:hAnsiTheme="majorBidi" w:cstheme="majorBidi"/>
          <w:sz w:val="24"/>
          <w:szCs w:val="24"/>
        </w:rPr>
        <w:instrText>R&lt;/author&gt;&lt;author&gt;Liao, C</w:instrText>
      </w:r>
      <w:r w:rsidR="009C0CB3">
        <w:rPr>
          <w:rFonts w:ascii="Cambria Math" w:hAnsi="Cambria Math" w:cs="Cambria Math"/>
          <w:sz w:val="24"/>
          <w:szCs w:val="24"/>
        </w:rPr>
        <w:instrText>‐</w:instrText>
      </w:r>
      <w:r w:rsidR="009C0CB3">
        <w:rPr>
          <w:rFonts w:asciiTheme="majorBidi" w:hAnsiTheme="majorBidi" w:cstheme="majorBidi"/>
          <w:sz w:val="24"/>
          <w:szCs w:val="24"/>
        </w:rPr>
        <w:instrText>C&lt;/author&gt;&lt;author&gt;Huang, W</w:instrText>
      </w:r>
      <w:r w:rsidR="009C0CB3">
        <w:rPr>
          <w:rFonts w:ascii="Cambria Math" w:hAnsi="Cambria Math" w:cs="Cambria Math"/>
          <w:sz w:val="24"/>
          <w:szCs w:val="24"/>
        </w:rPr>
        <w:instrText>‐</w:instrText>
      </w:r>
      <w:r w:rsidR="009C0CB3">
        <w:rPr>
          <w:rFonts w:asciiTheme="majorBidi" w:hAnsiTheme="majorBidi" w:cstheme="majorBidi"/>
          <w:sz w:val="24"/>
          <w:szCs w:val="24"/>
        </w:rPr>
        <w:instrText>H&lt;/author&gt;&lt;author&gt;Hsu, Y</w:instrText>
      </w:r>
      <w:r w:rsidR="009C0CB3">
        <w:rPr>
          <w:rFonts w:ascii="Cambria Math" w:hAnsi="Cambria Math" w:cs="Cambria Math"/>
          <w:sz w:val="24"/>
          <w:szCs w:val="24"/>
        </w:rPr>
        <w:instrText>‐</w:instrText>
      </w:r>
      <w:r w:rsidR="009C0CB3">
        <w:rPr>
          <w:rFonts w:asciiTheme="majorBidi" w:hAnsiTheme="majorBidi" w:cstheme="majorBidi"/>
          <w:sz w:val="24"/>
          <w:szCs w:val="24"/>
        </w:rPr>
        <w:instrText>H&lt;/author&gt;&lt;author&gt;Hsu, J</w:instrText>
      </w:r>
      <w:r w:rsidR="009C0CB3">
        <w:rPr>
          <w:rFonts w:ascii="Cambria Math" w:hAnsi="Cambria Math" w:cs="Cambria Math"/>
          <w:sz w:val="24"/>
          <w:szCs w:val="24"/>
        </w:rPr>
        <w:instrText>‐</w:instrText>
      </w:r>
      <w:r w:rsidR="009C0CB3">
        <w:rPr>
          <w:rFonts w:asciiTheme="majorBidi" w:hAnsiTheme="majorBidi" w:cstheme="majorBidi"/>
          <w:sz w:val="24"/>
          <w:szCs w:val="24"/>
        </w:rPr>
        <w:instrText>C&lt;/author&gt;&lt;author&gt;Yen, H</w:instrText>
      </w:r>
      <w:r w:rsidR="009C0CB3">
        <w:rPr>
          <w:rFonts w:ascii="Cambria Math" w:hAnsi="Cambria Math" w:cs="Cambria Math"/>
          <w:sz w:val="24"/>
          <w:szCs w:val="24"/>
        </w:rPr>
        <w:instrText>‐</w:instrText>
      </w:r>
      <w:r w:rsidR="009C0CB3">
        <w:rPr>
          <w:rFonts w:asciiTheme="majorBidi" w:hAnsiTheme="majorBidi" w:cstheme="majorBidi"/>
          <w:sz w:val="24"/>
          <w:szCs w:val="24"/>
        </w:rPr>
        <w:instrText>C&lt;/author&gt;&lt;author&gt;Lin, C</w:instrText>
      </w:r>
      <w:r w:rsidR="009C0CB3">
        <w:rPr>
          <w:rFonts w:ascii="Cambria Math" w:hAnsi="Cambria Math" w:cs="Cambria Math"/>
          <w:sz w:val="24"/>
          <w:szCs w:val="24"/>
        </w:rPr>
        <w:instrText>‐</w:instrText>
      </w:r>
      <w:r w:rsidR="009C0CB3">
        <w:rPr>
          <w:rFonts w:asciiTheme="majorBidi" w:hAnsiTheme="majorBidi" w:cstheme="majorBidi"/>
          <w:sz w:val="24"/>
          <w:szCs w:val="24"/>
        </w:rPr>
        <w:instrText>L&lt;/author&gt;&lt;/authors&gt;&lt;/contributors&gt;&lt;titles&gt;&lt;title&gt;Prognostic factors of spontaneous intracerebral haemorrhage in haemodialysis patients and predictors of 30</w:instrText>
      </w:r>
      <w:r w:rsidR="009C0CB3">
        <w:rPr>
          <w:rFonts w:ascii="Cambria Math" w:hAnsi="Cambria Math" w:cs="Cambria Math"/>
          <w:sz w:val="24"/>
          <w:szCs w:val="24"/>
        </w:rPr>
        <w:instrText>‐</w:instrText>
      </w:r>
      <w:r w:rsidR="009C0CB3">
        <w:rPr>
          <w:rFonts w:asciiTheme="majorBidi" w:hAnsiTheme="majorBidi" w:cstheme="majorBidi"/>
          <w:sz w:val="24"/>
          <w:szCs w:val="24"/>
        </w:rPr>
        <w:instrText>day mortality&lt;/title&gt;&lt;secondary-title&gt;Internal Medicine Journal&lt;/secondary-title&gt;&lt;/titles&gt;&lt;periodical&gt;&lt;full-title&gt;Internal Medicine Journal&lt;/full-title&gt;&lt;/periodical&gt;&lt;pages&gt;568-574&lt;/pages&gt;&lt;volume&gt;38&lt;/volume&gt;&lt;number&gt;7&lt;/number&gt;&lt;dates&gt;&lt;year&gt;2008&lt;/year&gt;&lt;/dates&gt;&lt;isbn&gt;1444-0903&lt;/isbn&gt;&lt;urls&gt;&lt;/urls&gt;&lt;/record&gt;&lt;/Cite&gt;&lt;Cite&gt;&lt;Author&gt;Oishi&lt;/Author&gt;&lt;Year&gt;2017&lt;/Year&gt;&lt;RecNum&gt;23&lt;/RecNum&gt;&lt;record&gt;&lt;rec-number&gt;23&lt;/rec-number&gt;&lt;foreign-keys&gt;&lt;key app="EN" db-id="rr0ve5twvwadv9eezf4x2wz3awv0sxessv5p" timestamp="1687802109"&gt;23&lt;/key&gt;&lt;/foreign-keys&gt;&lt;ref-type name="Journal Article"&gt;17&lt;/ref-type&gt;&lt;contributors&gt;&lt;authors&gt;&lt;author&gt;Oishi, Tomoya&lt;/author&gt;&lt;author&gt;Takehara, Seiya&lt;/author&gt;&lt;author&gt;Yamamura, Yasuhiro&lt;/author&gt;&lt;author&gt;Tomida, Mamoru&lt;/author&gt;&lt;author&gt;Ikegaya, Naoki&lt;/author&gt;&lt;author&gt;Seki, George&lt;/author&gt;&lt;author&gt;Ohta, Nobutaka&lt;/author&gt;&lt;/authors&gt;&lt;/contributors&gt;&lt;titles&gt;&lt;title&gt;Hemodialysis increases the incidence of post-traumatic seizure in hemodialysis patients with traumatic intracranial hemorrhage&lt;/title&gt;&lt;secondary-title&gt;No Shinkei geka. Neurological Surgery&lt;/secondary-title&gt;&lt;/titles&gt;&lt;periodical&gt;&lt;full-title&gt;No Shinkei geka. Neurological Surgery&lt;/full-title&gt;&lt;/periodical&gt;&lt;pages&gt;303-309&lt;/pages&gt;&lt;volume&gt;45&lt;/volume&gt;&lt;number&gt;4&lt;/number&gt;&lt;dates&gt;&lt;year&gt;2017&lt;/year&gt;&lt;/dates&gt;&lt;isbn&gt;0301-2603&lt;/isbn&gt;&lt;urls&gt;&lt;/urls&gt;&lt;/record&gt;&lt;/Cite&gt;&lt;/EndNote&gt;</w:instrText>
      </w:r>
      <w:r w:rsidR="00D06D25">
        <w:rPr>
          <w:rFonts w:asciiTheme="majorBidi" w:hAnsiTheme="majorBidi" w:cstheme="majorBidi"/>
          <w:sz w:val="24"/>
          <w:szCs w:val="24"/>
        </w:rPr>
        <w:fldChar w:fldCharType="separate"/>
      </w:r>
      <w:r w:rsidR="009C0CB3">
        <w:rPr>
          <w:rFonts w:asciiTheme="majorBidi" w:hAnsiTheme="majorBidi" w:cstheme="majorBidi"/>
          <w:noProof/>
          <w:sz w:val="24"/>
          <w:szCs w:val="24"/>
        </w:rPr>
        <w:t>(22, 23)</w:t>
      </w:r>
      <w:r w:rsidR="00D06D25">
        <w:rPr>
          <w:rFonts w:asciiTheme="majorBidi" w:hAnsiTheme="majorBidi" w:cstheme="majorBidi"/>
          <w:sz w:val="24"/>
          <w:szCs w:val="24"/>
        </w:rPr>
        <w:fldChar w:fldCharType="end"/>
      </w:r>
      <w:r w:rsidRPr="001807FE">
        <w:rPr>
          <w:rFonts w:asciiTheme="majorBidi" w:hAnsiTheme="majorBidi" w:cstheme="majorBidi"/>
          <w:sz w:val="24"/>
          <w:szCs w:val="24"/>
        </w:rPr>
        <w:t xml:space="preserve">. In general, the GCS score can independently predict hospital mortality; nonetheless, GCS has limitations as a subjective rating tool. </w:t>
      </w:r>
      <w:r w:rsidR="00A5604E" w:rsidRPr="001807FE">
        <w:rPr>
          <w:rFonts w:asciiTheme="majorBidi" w:hAnsiTheme="majorBidi" w:cstheme="majorBidi"/>
          <w:sz w:val="24"/>
          <w:szCs w:val="24"/>
        </w:rPr>
        <w:t xml:space="preserve">For instance, measuring the GCS score in individuals who are sedated, on a ventilator, have jaw and face trauma, or are under the influence of illegal substances or alcohol is problematic </w:t>
      </w:r>
      <w:r w:rsidR="00D06D25">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&lt;EndNote&gt;&lt;Cite&gt;&lt;Author&gt;Meredith&lt;/Author&gt;&lt;Year&gt;1998&lt;/Year&gt;&lt;RecNum&gt;24&lt;/RecNum&gt;&lt;DisplayText&gt;(24)&lt;/DisplayText&gt;&lt;record&gt;&lt;rec-number&gt;24&lt;/rec-number&gt;&lt;foreign-keys&gt;&lt;key app="EN" db-id="rr0ve5twvwadv9eezf4x2wz3awv0sxessv5p" timestamp="1687802172"&gt;24&lt;/key&gt;&lt;/foreign-keys&gt;&lt;ref-type name="Journal Article"&gt;17&lt;/ref-type&gt;&lt;contributors&gt;&lt;authors&gt;&lt;author&gt;Meredith, Wayne&lt;/author&gt;&lt;author&gt;Rutledge, Robert&lt;/author&gt;&lt;author&gt;Fakhry, Samir M&lt;/author&gt;&lt;author&gt;Emery, Sherry&lt;/author&gt;&lt;author&gt;Kromhout-Schiro, Sharon&lt;/author&gt;&lt;/authors&gt;&lt;/contributors&gt;&lt;titles&gt;&lt;title&gt;The conundrum of the Glasgow Coma Scale in intubated patients: a linear regression prediction of the Glasgow verbal score from the Glasgow eye and motor scores&lt;/title&gt;&lt;secondary-title&gt;Journal of Trauma and Acute Care Surgery&lt;/secondary-title&gt;&lt;/titles&gt;&lt;periodical&gt;&lt;full-title&gt;Journal of Trauma and Acute Care Surgery&lt;/full-title&gt;&lt;/periodical&gt;&lt;pages&gt;839-845&lt;/pages&gt;&lt;volume&gt;44&lt;/volume&gt;&lt;number&gt;5&lt;/number&gt;&lt;dates&gt;&lt;year&gt;1998&lt;/year&gt;&lt;/dates&gt;&lt;isbn&gt;2163-0755&lt;/isbn&gt;&lt;urls&gt;&lt;/urls&gt;&lt;/record&gt;&lt;/Cite&gt;&lt;/EndNote&gt;</w:instrText>
      </w:r>
      <w:r w:rsidR="00D06D25">
        <w:rPr>
          <w:rFonts w:asciiTheme="majorBidi" w:hAnsiTheme="majorBidi" w:cstheme="majorBidi"/>
          <w:sz w:val="24"/>
          <w:szCs w:val="24"/>
        </w:rPr>
        <w:fldChar w:fldCharType="separate"/>
      </w:r>
      <w:r w:rsidR="009C0CB3">
        <w:rPr>
          <w:rFonts w:asciiTheme="majorBidi" w:hAnsiTheme="majorBidi" w:cstheme="majorBidi"/>
          <w:noProof/>
          <w:sz w:val="24"/>
          <w:szCs w:val="24"/>
        </w:rPr>
        <w:t>(24)</w:t>
      </w:r>
      <w:r w:rsidR="00D06D25">
        <w:rPr>
          <w:rFonts w:asciiTheme="majorBidi" w:hAnsiTheme="majorBidi" w:cstheme="majorBidi"/>
          <w:sz w:val="24"/>
          <w:szCs w:val="24"/>
        </w:rPr>
        <w:fldChar w:fldCharType="end"/>
      </w:r>
      <w:r w:rsidR="00E70100" w:rsidRPr="001807FE">
        <w:rPr>
          <w:rFonts w:asciiTheme="majorBidi" w:hAnsiTheme="majorBidi" w:cstheme="majorBidi"/>
          <w:sz w:val="24"/>
          <w:szCs w:val="24"/>
        </w:rPr>
        <w:t>.</w:t>
      </w:r>
    </w:p>
    <w:p w14:paraId="662F1766" w14:textId="77777777" w:rsidR="00B44505" w:rsidRPr="001807FE" w:rsidRDefault="009B1086" w:rsidP="009C0CB3">
      <w:pPr>
        <w:spacing w:line="360" w:lineRule="auto"/>
        <w:jc w:val="both"/>
        <w:rPr>
          <w:rStyle w:val="fontstyle01"/>
          <w:rFonts w:asciiTheme="majorBidi" w:hAnsiTheme="majorBidi" w:cstheme="majorBidi"/>
        </w:rPr>
      </w:pPr>
      <w:r w:rsidRPr="001807FE">
        <w:rPr>
          <w:rFonts w:asciiTheme="majorBidi" w:hAnsiTheme="majorBidi" w:cstheme="majorBidi"/>
          <w:sz w:val="24"/>
          <w:szCs w:val="24"/>
        </w:rPr>
        <w:t xml:space="preserve">NLR is a biomarker that indicates the equilibrium of the two components of the immune system. It is determined as a simple ratio of the count of neutrophils to lymphocytes in the circulatory system. This ratio is also computed in the CSF. NLR may be a predictor of overall population </w:t>
      </w:r>
      <w:r w:rsidRPr="001807FE">
        <w:rPr>
          <w:rFonts w:asciiTheme="majorBidi" w:hAnsiTheme="majorBidi" w:cstheme="majorBidi"/>
          <w:sz w:val="24"/>
          <w:szCs w:val="24"/>
        </w:rPr>
        <w:lastRenderedPageBreak/>
        <w:t>mortality, as well as the impact of inflammati</w:t>
      </w:r>
      <w:r w:rsidR="00310F59">
        <w:rPr>
          <w:rFonts w:asciiTheme="majorBidi" w:hAnsiTheme="majorBidi" w:cstheme="majorBidi"/>
          <w:sz w:val="24"/>
          <w:szCs w:val="24"/>
        </w:rPr>
        <w:t xml:space="preserve">on and immunology on health </w:t>
      </w:r>
      <w:r w:rsidR="00310F59">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&lt;EndNote&gt;&lt;Cite&gt;&lt;Author&gt;Song&lt;/Author&gt;&lt;Year&gt;2021&lt;/Year&gt;&lt;RecNum&gt;25&lt;/RecNum&gt;&lt;DisplayText&gt;(25)&lt;/DisplayText&gt;&lt;record&gt;&lt;rec-number&gt;25&lt;/rec-number&gt;&lt;foreign-keys&gt;&lt;key app="EN" db-id="rr0ve5twvwadv9eezf4x2wz3awv0sxessv5p" timestamp="1687802305"&gt;25&lt;/key&gt;&lt;/foreign-keys&gt;&lt;ref-type name="Journal Article"&gt;17&lt;/ref-type&gt;&lt;contributors&gt;&lt;authors&gt;&lt;author&gt;Song, Minkyo&lt;/author&gt;&lt;author&gt;Graubard, Barry I&lt;/author&gt;&lt;author&gt;Rabkin, Charles S&lt;/author&gt;&lt;author&gt;Engels, Eric A&lt;/author&gt;&lt;/authors&gt;&lt;/contributors&gt;&lt;titles&gt;&lt;title&gt;Neutrophil-to-lymphocyte ratio and mortality in the United States general population&lt;/title&gt;&lt;secondary-title&gt;Scientific Reports&lt;/secondary-title&gt;&lt;/titles&gt;&lt;periodical&gt;&lt;full-title&gt;Scientific Reports&lt;/full-title&gt;&lt;/periodical&gt;&lt;pages&gt;464&lt;/pages&gt;&lt;volume&gt;11&lt;/volume&gt;&lt;number&gt;1&lt;/number&gt;&lt;dates&gt;&lt;year&gt;2021&lt;/year&gt;&lt;/dates&gt;&lt;isbn&gt;2045-2322&lt;/isbn&gt;&lt;urls&gt;&lt;/urls&gt;&lt;/record&gt;&lt;/Cite&gt;&lt;/EndNote&gt;</w:instrText>
      </w:r>
      <w:r w:rsidR="00310F59">
        <w:rPr>
          <w:rFonts w:asciiTheme="majorBidi" w:hAnsiTheme="majorBidi" w:cstheme="majorBidi"/>
          <w:sz w:val="24"/>
          <w:szCs w:val="24"/>
        </w:rPr>
        <w:fldChar w:fldCharType="separate"/>
      </w:r>
      <w:r w:rsidR="009C0CB3">
        <w:rPr>
          <w:rFonts w:asciiTheme="majorBidi" w:hAnsiTheme="majorBidi" w:cstheme="majorBidi"/>
          <w:noProof/>
          <w:sz w:val="24"/>
          <w:szCs w:val="24"/>
        </w:rPr>
        <w:t>(25)</w:t>
      </w:r>
      <w:r w:rsidR="00310F59">
        <w:rPr>
          <w:rFonts w:asciiTheme="majorBidi" w:hAnsiTheme="majorBidi" w:cstheme="majorBidi"/>
          <w:sz w:val="24"/>
          <w:szCs w:val="24"/>
        </w:rPr>
        <w:fldChar w:fldCharType="end"/>
      </w:r>
      <w:r w:rsidRPr="001807FE">
        <w:rPr>
          <w:rFonts w:asciiTheme="majorBidi" w:hAnsiTheme="majorBidi" w:cstheme="majorBidi"/>
          <w:sz w:val="24"/>
          <w:szCs w:val="24"/>
        </w:rPr>
        <w:t xml:space="preserve">. </w:t>
      </w:r>
      <w:r w:rsidR="00310F59" w:rsidRPr="001807FE">
        <w:rPr>
          <w:rFonts w:asciiTheme="majorBidi" w:hAnsiTheme="majorBidi" w:cstheme="majorBidi"/>
          <w:sz w:val="24"/>
          <w:szCs w:val="24"/>
        </w:rPr>
        <w:t>O</w:t>
      </w:r>
      <w:r w:rsidRPr="001807FE">
        <w:rPr>
          <w:rFonts w:asciiTheme="majorBidi" w:hAnsiTheme="majorBidi" w:cstheme="majorBidi"/>
          <w:sz w:val="24"/>
          <w:szCs w:val="24"/>
        </w:rPr>
        <w:t xml:space="preserve">ur findings revealed that the average NLR in patients who died was considerably higher than in survivors (P = 0.027). </w:t>
      </w:r>
      <w:r w:rsidR="006464E8" w:rsidRPr="001807FE">
        <w:rPr>
          <w:rFonts w:asciiTheme="majorBidi" w:hAnsiTheme="majorBidi" w:cstheme="majorBidi"/>
          <w:sz w:val="24"/>
          <w:szCs w:val="24"/>
        </w:rPr>
        <w:t xml:space="preserve">The first indication of cerebral </w:t>
      </w:r>
      <w:r w:rsidR="001807FE" w:rsidRPr="001807FE">
        <w:rPr>
          <w:rFonts w:asciiTheme="majorBidi" w:hAnsiTheme="majorBidi" w:cstheme="majorBidi"/>
          <w:sz w:val="24"/>
          <w:szCs w:val="24"/>
        </w:rPr>
        <w:t>hemorrhage</w:t>
      </w:r>
      <w:r w:rsidR="006464E8" w:rsidRPr="001807FE">
        <w:rPr>
          <w:rFonts w:asciiTheme="majorBidi" w:hAnsiTheme="majorBidi" w:cstheme="majorBidi"/>
          <w:sz w:val="24"/>
          <w:szCs w:val="24"/>
        </w:rPr>
        <w:t xml:space="preserve"> is blood flow stagnation, which can be detected both within and surrounding the hematoma. Following that, the blood-brain barrier (BBB) is disrupted. Endothelial cells, as well as dying neurons and glial cells, release a large number of inflammatory molec</w:t>
      </w:r>
      <w:r w:rsidR="00310F59">
        <w:rPr>
          <w:rFonts w:asciiTheme="majorBidi" w:hAnsiTheme="majorBidi" w:cstheme="majorBidi"/>
          <w:sz w:val="24"/>
          <w:szCs w:val="24"/>
        </w:rPr>
        <w:t xml:space="preserve">ules </w:t>
      </w:r>
      <w:r w:rsidR="00310F59">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&lt;EndNote&gt;&lt;Cite&gt;&lt;Author&gt;Aronowski&lt;/Author&gt;&lt;Year&gt;2011&lt;/Year&gt;&lt;RecNum&gt;26&lt;/RecNum&gt;&lt;DisplayText&gt;(26, 27)&lt;/DisplayText&gt;&lt;record&gt;&lt;rec-number&gt;26&lt;/rec-number&gt;&lt;foreign-keys&gt;&lt;key app="EN" db-id="rr0ve5twvwadv9eezf4x2wz3awv0sxessv5p" timestamp="1687802349"&gt;26&lt;/key&gt;&lt;/foreign-keys&gt;&lt;ref-type name="Journal Article"&gt;17&lt;/ref-type&gt;&lt;contributors&gt;&lt;authors&gt;&lt;author&gt;Aronowski, Jaroslaw&lt;/author&gt;&lt;author&gt;Zhao, Xiurong&lt;/author&gt;&lt;/authors&gt;&lt;/contributors&gt;&lt;titles&gt;&lt;title&gt;Molecular pathophysiology of cerebral hemorrhage: secondary brain injury&lt;/title&gt;&lt;secondary-title&gt;Stroke&lt;/secondary-title&gt;&lt;/titles&gt;&lt;periodical&gt;&lt;full-title&gt;Stroke&lt;/full-title&gt;&lt;/periodical&gt;&lt;pages&gt;1781-1786&lt;/pages&gt;&lt;volume&gt;42&lt;/volume&gt;&lt;number&gt;6&lt;/number&gt;&lt;dates&gt;&lt;year&gt;2011&lt;/year&gt;&lt;/dates&gt;&lt;isbn&gt;0039-2499&lt;/isbn&gt;&lt;urls&gt;&lt;/urls&gt;&lt;/record&gt;&lt;/Cite&gt;&lt;Cite&gt;&lt;Author&gt;Anrather&lt;/Author&gt;&lt;Year&gt;2016&lt;/Year&gt;&lt;RecNum&gt;27&lt;/RecNum&gt;&lt;record&gt;&lt;rec-number&gt;27&lt;/rec-number&gt;&lt;foreign-keys&gt;&lt;key app="EN" db-id="rr0ve5twvwadv9eezf4x2wz3awv0sxessv5p" timestamp="1687802374"&gt;27&lt;/key&gt;&lt;/foreign-keys&gt;&lt;ref-type name="Journal Article"&gt;17&lt;/ref-type&gt;&lt;contributors&gt;&lt;authors&gt;&lt;author&gt;Anrather, Josef&lt;/author&gt;&lt;author&gt;Iadecola, Costantino&lt;/author&gt;&lt;/authors&gt;&lt;/contributors&gt;&lt;titles&gt;&lt;title&gt;Inflammation and stroke: an overview&lt;/title&gt;&lt;secondary-title&gt;Neurotherapeutics&lt;/secondary-title&gt;&lt;/titles&gt;&lt;periodical&gt;&lt;full-title&gt;Neurotherapeutics&lt;/full-title&gt;&lt;/periodical&gt;&lt;pages&gt;661-670&lt;/pages&gt;&lt;volume&gt;13&lt;/volume&gt;&lt;dates&gt;&lt;year&gt;2016&lt;/year&gt;&lt;/dates&gt;&lt;isbn&gt;1933-7213&lt;/isbn&gt;&lt;urls&gt;&lt;/urls&gt;&lt;/record&gt;&lt;/Cite&gt;&lt;/EndNote&gt;</w:instrText>
      </w:r>
      <w:r w:rsidR="00310F59">
        <w:rPr>
          <w:rFonts w:asciiTheme="majorBidi" w:hAnsiTheme="majorBidi" w:cstheme="majorBidi"/>
          <w:sz w:val="24"/>
          <w:szCs w:val="24"/>
        </w:rPr>
        <w:fldChar w:fldCharType="separate"/>
      </w:r>
      <w:r w:rsidR="009C0CB3">
        <w:rPr>
          <w:rFonts w:asciiTheme="majorBidi" w:hAnsiTheme="majorBidi" w:cstheme="majorBidi"/>
          <w:noProof/>
          <w:sz w:val="24"/>
          <w:szCs w:val="24"/>
        </w:rPr>
        <w:t>(26, 27)</w:t>
      </w:r>
      <w:r w:rsidR="00310F59">
        <w:rPr>
          <w:rFonts w:asciiTheme="majorBidi" w:hAnsiTheme="majorBidi" w:cstheme="majorBidi"/>
          <w:sz w:val="24"/>
          <w:szCs w:val="24"/>
        </w:rPr>
        <w:fldChar w:fldCharType="end"/>
      </w:r>
      <w:r w:rsidR="006464E8" w:rsidRPr="001807FE">
        <w:rPr>
          <w:rFonts w:asciiTheme="majorBidi" w:hAnsiTheme="majorBidi" w:cstheme="majorBidi"/>
          <w:sz w:val="24"/>
          <w:szCs w:val="24"/>
        </w:rPr>
        <w:t>. The first inflammatory cells to enter the site are neutrophils, followed by the activation of lymphocytes as a</w:t>
      </w:r>
      <w:r w:rsidR="00310F59">
        <w:rPr>
          <w:rFonts w:asciiTheme="majorBidi" w:hAnsiTheme="majorBidi" w:cstheme="majorBidi"/>
          <w:sz w:val="24"/>
          <w:szCs w:val="24"/>
        </w:rPr>
        <w:t xml:space="preserve">daptive immune system cells </w:t>
      </w:r>
      <w:r w:rsidR="00310F59">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&lt;EndNote&gt;&lt;Cite&gt;&lt;Author&gt;Merali&lt;/Author&gt;&lt;Year&gt;2017&lt;/Year&gt;&lt;RecNum&gt;28&lt;/RecNum&gt;&lt;DisplayText&gt;(28)&lt;/DisplayText&gt;&lt;record&gt;&lt;rec-number&gt;28&lt;/rec-number&gt;&lt;foreign-keys&gt;&lt;key app="EN" db-id="rr0ve5twvwadv9eezf4x2wz3awv0sxessv5p" timestamp="1687802409"&gt;28&lt;/key&gt;&lt;/foreign-keys&gt;&lt;ref-type name="Journal Article"&gt;17&lt;/ref-type&gt;&lt;contributors&gt;&lt;authors&gt;&lt;author&gt;Merali, Zamir&lt;/author&gt;&lt;author&gt;Huang, Kun&lt;/author&gt;&lt;author&gt;Mikulis, David&lt;/author&gt;&lt;author&gt;Silver, Frank&lt;/author&gt;&lt;author&gt;Kassner, Andrea&lt;/author&gt;&lt;/authors&gt;&lt;/contributors&gt;&lt;titles&gt;&lt;title&gt;Evolution of blood-brain-barrier permeability after acute ischemic stroke&lt;/title&gt;&lt;secondary-title&gt;PloS one&lt;/secondary-title&gt;&lt;/titles&gt;&lt;periodical&gt;&lt;full-title&gt;PloS one&lt;/full-title&gt;&lt;/periodical&gt;&lt;pages&gt;e0171558&lt;/pages&gt;&lt;volume&gt;12&lt;/volume&gt;&lt;number&gt;2&lt;/number&gt;&lt;dates&gt;&lt;year&gt;2017&lt;/year&gt;&lt;/dates&gt;&lt;isbn&gt;1932-6203&lt;/isbn&gt;&lt;urls&gt;&lt;/urls&gt;&lt;/record&gt;&lt;/Cite&gt;&lt;/EndNote&gt;</w:instrText>
      </w:r>
      <w:r w:rsidR="00310F59">
        <w:rPr>
          <w:rFonts w:asciiTheme="majorBidi" w:hAnsiTheme="majorBidi" w:cstheme="majorBidi"/>
          <w:sz w:val="24"/>
          <w:szCs w:val="24"/>
        </w:rPr>
        <w:fldChar w:fldCharType="separate"/>
      </w:r>
      <w:r w:rsidR="009C0CB3">
        <w:rPr>
          <w:rFonts w:asciiTheme="majorBidi" w:hAnsiTheme="majorBidi" w:cstheme="majorBidi"/>
          <w:noProof/>
          <w:sz w:val="24"/>
          <w:szCs w:val="24"/>
        </w:rPr>
        <w:t>(28)</w:t>
      </w:r>
      <w:r w:rsidR="00310F59">
        <w:rPr>
          <w:rFonts w:asciiTheme="majorBidi" w:hAnsiTheme="majorBidi" w:cstheme="majorBidi"/>
          <w:sz w:val="24"/>
          <w:szCs w:val="24"/>
        </w:rPr>
        <w:fldChar w:fldCharType="end"/>
      </w:r>
      <w:r w:rsidR="006464E8" w:rsidRPr="001807FE">
        <w:rPr>
          <w:rFonts w:asciiTheme="majorBidi" w:hAnsiTheme="majorBidi" w:cstheme="majorBidi"/>
          <w:sz w:val="24"/>
          <w:szCs w:val="24"/>
        </w:rPr>
        <w:t xml:space="preserve">. </w:t>
      </w:r>
      <w:r w:rsidR="00C8331F" w:rsidRPr="001807FE">
        <w:rPr>
          <w:rFonts w:asciiTheme="majorBidi" w:hAnsiTheme="majorBidi" w:cstheme="majorBidi"/>
          <w:sz w:val="24"/>
          <w:szCs w:val="24"/>
        </w:rPr>
        <w:t xml:space="preserve">Therefore, a deeper knowledge of the association between NLR or other clinical indicators and overall mortality </w:t>
      </w:r>
      <w:r w:rsidR="00982458">
        <w:rPr>
          <w:rFonts w:asciiTheme="majorBidi" w:hAnsiTheme="majorBidi" w:cstheme="majorBidi"/>
          <w:sz w:val="24"/>
          <w:szCs w:val="24"/>
        </w:rPr>
        <w:t xml:space="preserve">in the CSF </w:t>
      </w:r>
      <w:r w:rsidR="00C8331F" w:rsidRPr="001807FE">
        <w:rPr>
          <w:rFonts w:asciiTheme="majorBidi" w:hAnsiTheme="majorBidi" w:cstheme="majorBidi"/>
          <w:sz w:val="24"/>
          <w:szCs w:val="24"/>
        </w:rPr>
        <w:t>provides insight into the function of inflammation and immunity in diseas</w:t>
      </w:r>
      <w:r w:rsidR="00310F59">
        <w:rPr>
          <w:rFonts w:asciiTheme="majorBidi" w:hAnsiTheme="majorBidi" w:cstheme="majorBidi"/>
          <w:sz w:val="24"/>
          <w:szCs w:val="24"/>
        </w:rPr>
        <w:t>e development and prognosis</w:t>
      </w:r>
      <w:r w:rsidR="00C8331F" w:rsidRPr="001807FE">
        <w:rPr>
          <w:rFonts w:asciiTheme="majorBidi" w:hAnsiTheme="majorBidi" w:cstheme="majorBidi"/>
          <w:sz w:val="24"/>
          <w:szCs w:val="24"/>
        </w:rPr>
        <w:t>. NLR could be used to track patients who have undergone EVD and predict their prognosis and mortality</w:t>
      </w:r>
      <w:r w:rsidR="00AE619A">
        <w:rPr>
          <w:rFonts w:asciiTheme="majorBidi" w:hAnsiTheme="majorBidi" w:cstheme="majorBidi"/>
          <w:sz w:val="24"/>
          <w:szCs w:val="24"/>
        </w:rPr>
        <w:t xml:space="preserve"> </w:t>
      </w:r>
      <w:r w:rsidR="00AE619A">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&lt;EndNote&gt;&lt;Cite&gt;&lt;Author&gt;Gusdon&lt;/Author&gt;&lt;Year&gt;2021&lt;/Year&gt;&lt;RecNum&gt;29&lt;/RecNum&gt;&lt;DisplayText&gt;(29)&lt;/DisplayText&gt;&lt;record&gt;&lt;rec-number&gt;29&lt;/rec-number&gt;&lt;foreign-keys&gt;&lt;key app="EN" db-id="rr0ve5twvwadv9eezf4x2wz3awv0sxessv5p" timestamp="1687929231"&gt;29&lt;/key&gt;&lt;/foreign-keys&gt;&lt;ref-type name="Journal Article"&gt;17&lt;/ref-type&gt;&lt;contributors&gt;&lt;authors&gt;&lt;author&gt;Gusdon, Aaron M&lt;/author&gt;&lt;author&gt;Thompson, Carol B&lt;/author&gt;&lt;author&gt;Quirk, Kendel&lt;/author&gt;&lt;author&gt;Mayasi, Yunis M&lt;/author&gt;&lt;author&gt;Avadhani, Radhika&lt;/author&gt;&lt;author&gt;Awad, Issam A&lt;/author&gt;&lt;author&gt;Hanley, Daniel F&lt;/author&gt;&lt;author&gt;Ziai, Wendy C&lt;/author&gt;&lt;/authors&gt;&lt;/contributors&gt;&lt;titles&gt;&lt;title&gt;CSF and serum inflammatory response and association with outcomes in spontaneous intracerebral hemorrhage with intraventricular extension: an analysis of the CLEAR-III Trial&lt;/title&gt;&lt;secondary-title&gt;Journal of Neuroinflammation&lt;/secondary-title&gt;&lt;/titles&gt;&lt;periodical&gt;&lt;full-title&gt;Journal of Neuroinflammation&lt;/full-title&gt;&lt;/periodical&gt;&lt;pages&gt;1-11&lt;/pages&gt;&lt;volume&gt;18&lt;/volume&gt;&lt;number&gt;1&lt;/number&gt;&lt;dates&gt;&lt;year&gt;2021&lt;/year&gt;&lt;/dates&gt;&lt;isbn&gt;1742-2094&lt;/isbn&gt;&lt;urls&gt;&lt;/urls&gt;&lt;/record&gt;&lt;/Cite&gt;&lt;/EndNote&gt;</w:instrText>
      </w:r>
      <w:r w:rsidR="00AE619A">
        <w:rPr>
          <w:rFonts w:asciiTheme="majorBidi" w:hAnsiTheme="majorBidi" w:cstheme="majorBidi"/>
          <w:sz w:val="24"/>
          <w:szCs w:val="24"/>
        </w:rPr>
        <w:fldChar w:fldCharType="separate"/>
      </w:r>
      <w:r w:rsidR="009C0CB3">
        <w:rPr>
          <w:rFonts w:asciiTheme="majorBidi" w:hAnsiTheme="majorBidi" w:cstheme="majorBidi"/>
          <w:noProof/>
          <w:sz w:val="24"/>
          <w:szCs w:val="24"/>
        </w:rPr>
        <w:t>(29)</w:t>
      </w:r>
      <w:r w:rsidR="00AE619A">
        <w:rPr>
          <w:rFonts w:asciiTheme="majorBidi" w:hAnsiTheme="majorBidi" w:cstheme="majorBidi"/>
          <w:sz w:val="24"/>
          <w:szCs w:val="24"/>
        </w:rPr>
        <w:fldChar w:fldCharType="end"/>
      </w:r>
      <w:r w:rsidR="00C8331F" w:rsidRPr="001807FE">
        <w:rPr>
          <w:rFonts w:asciiTheme="majorBidi" w:hAnsiTheme="majorBidi" w:cstheme="majorBidi"/>
          <w:sz w:val="24"/>
          <w:szCs w:val="24"/>
        </w:rPr>
        <w:t xml:space="preserve">. As a result, we investigated the likelihood of using the biomarkers independent of the thresholds reported in the study. For this purpose, regression analysis as well as ROC curves were used. The ROC curve contrasts the ability of a true-positive rate (sensitivity) and a false-positive rate (specificity) to predict a dichotomous result over a range of values. In our findings, the levels of age, NLR, underlying disease, and level of consciousness were associated with the mortality rate and, as continuous factors, indicated a better AUC. </w:t>
      </w:r>
      <w:r w:rsidR="00222F89" w:rsidRPr="00222F89">
        <w:rPr>
          <w:rStyle w:val="fontstyle01"/>
          <w:rFonts w:asciiTheme="majorBidi" w:hAnsiTheme="majorBidi" w:cstheme="majorBidi"/>
        </w:rPr>
        <w:t xml:space="preserve">Several studies have </w:t>
      </w:r>
      <w:r w:rsidR="00222F89">
        <w:rPr>
          <w:rStyle w:val="fontstyle01"/>
          <w:rFonts w:asciiTheme="majorBidi" w:hAnsiTheme="majorBidi" w:cstheme="majorBidi"/>
        </w:rPr>
        <w:t>been conducted to evaluate the NLR</w:t>
      </w:r>
      <w:r w:rsidR="00222F89" w:rsidRPr="00222F89">
        <w:rPr>
          <w:rStyle w:val="fontstyle01"/>
          <w:rFonts w:asciiTheme="majorBidi" w:hAnsiTheme="majorBidi" w:cstheme="majorBidi"/>
        </w:rPr>
        <w:t xml:space="preserve"> </w:t>
      </w:r>
      <w:r w:rsidR="00222F89">
        <w:rPr>
          <w:rStyle w:val="fontstyle01"/>
          <w:rFonts w:asciiTheme="majorBidi" w:hAnsiTheme="majorBidi" w:cstheme="majorBidi"/>
        </w:rPr>
        <w:t>function</w:t>
      </w:r>
      <w:r w:rsidR="00222F89" w:rsidRPr="00222F89">
        <w:rPr>
          <w:rStyle w:val="fontstyle01"/>
          <w:rFonts w:asciiTheme="majorBidi" w:hAnsiTheme="majorBidi" w:cstheme="majorBidi"/>
        </w:rPr>
        <w:t xml:space="preserve"> as a pr</w:t>
      </w:r>
      <w:r w:rsidR="00222F89">
        <w:rPr>
          <w:rStyle w:val="fontstyle01"/>
          <w:rFonts w:asciiTheme="majorBidi" w:hAnsiTheme="majorBidi" w:cstheme="majorBidi"/>
        </w:rPr>
        <w:t xml:space="preserve">edicted inflammatory biomarker </w:t>
      </w:r>
      <w:r w:rsidR="00C8331F" w:rsidRPr="001807FE">
        <w:rPr>
          <w:rStyle w:val="fontstyle01"/>
          <w:rFonts w:asciiTheme="majorBidi" w:hAnsiTheme="majorBidi" w:cstheme="majorBidi"/>
        </w:rPr>
        <w:t>in the mortal</w:t>
      </w:r>
      <w:r w:rsidR="00AE619A">
        <w:rPr>
          <w:rStyle w:val="fontstyle01"/>
          <w:rFonts w:asciiTheme="majorBidi" w:hAnsiTheme="majorBidi" w:cstheme="majorBidi"/>
        </w:rPr>
        <w:t xml:space="preserve">ity rate after EVD </w:t>
      </w:r>
      <w:r w:rsidR="00AE619A">
        <w:rPr>
          <w:rStyle w:val="fontstyle01"/>
          <w:rFonts w:asciiTheme="majorBidi" w:hAnsiTheme="majorBidi" w:cstheme="majorBidi"/>
        </w:rPr>
        <w:fldChar w:fldCharType="begin">
          <w:fldData xml:space="preserve">PEVuZE5vdGU+PENpdGU+PEF1dGhvcj5HdXNkb248L0F1dGhvcj48WWVhcj4yMDIxPC9ZZWFyPjxS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</w:fldData>
        </w:fldChar>
      </w:r>
      <w:r w:rsidR="009C0CB3">
        <w:rPr>
          <w:rStyle w:val="fontstyle01"/>
          <w:rFonts w:asciiTheme="majorBidi" w:hAnsiTheme="majorBidi" w:cstheme="majorBidi"/>
        </w:rPr>
        <w:instrText xml:space="preserve"> ADDIN EN.CITE </w:instrText>
      </w:r>
      <w:r w:rsidR="009C0CB3">
        <w:rPr>
          <w:rStyle w:val="fontstyle01"/>
          <w:rFonts w:asciiTheme="majorBidi" w:hAnsiTheme="majorBidi" w:cstheme="majorBidi"/>
        </w:rPr>
        <w:fldChar w:fldCharType="begin">
          <w:fldData xml:space="preserve">PEVuZE5vdGU+PENpdGU+PEF1dGhvcj5HdXNkb248L0F1dGhvcj48WWVhcj4yMDIxPC9ZZWFyPjxS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</w:fldData>
        </w:fldChar>
      </w:r>
      <w:r w:rsidR="009C0CB3">
        <w:rPr>
          <w:rStyle w:val="fontstyle01"/>
          <w:rFonts w:asciiTheme="majorBidi" w:hAnsiTheme="majorBidi" w:cstheme="majorBidi"/>
        </w:rPr>
        <w:instrText xml:space="preserve"> ADDIN EN.CITE.DATA </w:instrText>
      </w:r>
      <w:r w:rsidR="009C0CB3">
        <w:rPr>
          <w:rStyle w:val="fontstyle01"/>
          <w:rFonts w:asciiTheme="majorBidi" w:hAnsiTheme="majorBidi" w:cstheme="majorBidi"/>
        </w:rPr>
      </w:r>
      <w:r w:rsidR="009C0CB3">
        <w:rPr>
          <w:rStyle w:val="fontstyle01"/>
          <w:rFonts w:asciiTheme="majorBidi" w:hAnsiTheme="majorBidi" w:cstheme="majorBidi"/>
        </w:rPr>
        <w:fldChar w:fldCharType="end"/>
      </w:r>
      <w:r w:rsidR="00AE619A">
        <w:rPr>
          <w:rStyle w:val="fontstyle01"/>
          <w:rFonts w:asciiTheme="majorBidi" w:hAnsiTheme="majorBidi" w:cstheme="majorBidi"/>
        </w:rPr>
      </w:r>
      <w:r w:rsidR="00AE619A">
        <w:rPr>
          <w:rStyle w:val="fontstyle01"/>
          <w:rFonts w:asciiTheme="majorBidi" w:hAnsiTheme="majorBidi" w:cstheme="majorBidi"/>
        </w:rPr>
        <w:fldChar w:fldCharType="separate"/>
      </w:r>
      <w:r w:rsidR="009C0CB3">
        <w:rPr>
          <w:rStyle w:val="fontstyle01"/>
          <w:rFonts w:asciiTheme="majorBidi" w:hAnsiTheme="majorBidi" w:cstheme="majorBidi"/>
          <w:noProof/>
        </w:rPr>
        <w:t>(29-31)</w:t>
      </w:r>
      <w:r w:rsidR="00AE619A">
        <w:rPr>
          <w:rStyle w:val="fontstyle01"/>
          <w:rFonts w:asciiTheme="majorBidi" w:hAnsiTheme="majorBidi" w:cstheme="majorBidi"/>
        </w:rPr>
        <w:fldChar w:fldCharType="end"/>
      </w:r>
      <w:r w:rsidR="00C8331F" w:rsidRPr="001807FE">
        <w:rPr>
          <w:rStyle w:val="fontstyle01"/>
          <w:rFonts w:asciiTheme="majorBidi" w:hAnsiTheme="majorBidi" w:cstheme="majorBidi"/>
        </w:rPr>
        <w:t>. Our study was the first to investigate the major characteristics linked with NLR for death rate in patients with hydrocephalus. Our findings revealed that the connection between NLR and level of consciousness (coma vs. stupor group) was much higher in the dead group. A retrospective cohort study revealed that ANC, ALC, the presence of hydrocephalus, GCS score at admission, and hematoma volume all had an independent relations</w:t>
      </w:r>
      <w:r w:rsidR="00360700" w:rsidRPr="001807FE">
        <w:rPr>
          <w:rStyle w:val="fontstyle01"/>
          <w:rFonts w:asciiTheme="majorBidi" w:hAnsiTheme="majorBidi" w:cstheme="majorBidi"/>
        </w:rPr>
        <w:t>hip with admission NLR in ICH</w:t>
      </w:r>
      <w:r w:rsidR="00AE619A">
        <w:rPr>
          <w:rStyle w:val="fontstyle01"/>
          <w:rFonts w:asciiTheme="majorBidi" w:hAnsiTheme="majorBidi" w:cstheme="majorBidi"/>
        </w:rPr>
        <w:t xml:space="preserve"> </w:t>
      </w:r>
      <w:r w:rsidR="00AE619A">
        <w:rPr>
          <w:rStyle w:val="fontstyle01"/>
          <w:rFonts w:asciiTheme="majorBidi" w:hAnsiTheme="majorBidi" w:cstheme="majorBidi"/>
        </w:rPr>
        <w:fldChar w:fldCharType="begin"/>
      </w:r>
      <w:r w:rsidR="009C0CB3">
        <w:rPr>
          <w:rStyle w:val="fontstyle01"/>
          <w:rFonts w:asciiTheme="majorBidi" w:hAnsiTheme="majorBidi" w:cstheme="majorBidi"/>
        </w:rPr>
        <w:instrText xml:space="preserve"> ADDIN EN.CITE &lt;EndNote&gt;&lt;Cite&gt;&lt;Author&gt;Zhang&lt;/Author&gt;&lt;Year&gt;2018&lt;/Year&gt;&lt;RecNum&gt;32&lt;/RecNum&gt;&lt;DisplayText&gt;(32)&lt;/DisplayText&gt;&lt;record&gt;&lt;rec-number&gt;32&lt;/rec-number&gt;&lt;foreign-keys&gt;&lt;key app="EN" db-id="rr0ve5twvwadv9eezf4x2wz3awv0sxessv5p" timestamp="1687929619"&gt;32&lt;/key&gt;&lt;/foreign-keys&gt;&lt;ref-type name="Journal Article"&gt;17&lt;/ref-type&gt;&lt;contributors&gt;&lt;authors&gt;&lt;author&gt;Zhang, Fan&lt;/author&gt;&lt;author&gt;Tao, Chuanyuan&lt;/author&gt;&lt;author&gt;Hu, Xin&lt;/author&gt;&lt;author&gt;Qian, Juan&lt;/author&gt;&lt;author&gt;Li, Xi&lt;/author&gt;&lt;author&gt;You, Chao&lt;/author&gt;&lt;author&gt;Jiang, Yan&lt;/author&gt;&lt;author&gt;Yang, Mu&lt;/author&gt;&lt;/authors&gt;&lt;/contributors&gt;&lt;titles&gt;&lt;title&gt;Association of neutrophil to lymphocyte ratio on 90-day functional outcome in patients with intracerebral hemorrhage undergoing surgical treatment&lt;/title&gt;&lt;secondary-title&gt;World neurosurgery&lt;/secondary-title&gt;&lt;/titles&gt;&lt;periodical&gt;&lt;full-title&gt;World neurosurgery&lt;/full-title&gt;&lt;/periodical&gt;&lt;pages&gt;e956-e961&lt;/pages&gt;&lt;volume&gt;119&lt;/volume&gt;&lt;dates&gt;&lt;year&gt;2018&lt;/year&gt;&lt;/dates&gt;&lt;isbn&gt;1878-8750&lt;/isbn&gt;&lt;urls&gt;&lt;/urls&gt;&lt;/record&gt;&lt;/Cite&gt;&lt;/EndNote&gt;</w:instrText>
      </w:r>
      <w:r w:rsidR="00AE619A">
        <w:rPr>
          <w:rStyle w:val="fontstyle01"/>
          <w:rFonts w:asciiTheme="majorBidi" w:hAnsiTheme="majorBidi" w:cstheme="majorBidi"/>
        </w:rPr>
        <w:fldChar w:fldCharType="separate"/>
      </w:r>
      <w:r w:rsidR="009C0CB3">
        <w:rPr>
          <w:rStyle w:val="fontstyle01"/>
          <w:rFonts w:asciiTheme="majorBidi" w:hAnsiTheme="majorBidi" w:cstheme="majorBidi"/>
          <w:noProof/>
        </w:rPr>
        <w:t>(32)</w:t>
      </w:r>
      <w:r w:rsidR="00AE619A">
        <w:rPr>
          <w:rStyle w:val="fontstyle01"/>
          <w:rFonts w:asciiTheme="majorBidi" w:hAnsiTheme="majorBidi" w:cstheme="majorBidi"/>
        </w:rPr>
        <w:fldChar w:fldCharType="end"/>
      </w:r>
      <w:r w:rsidR="00360700" w:rsidRPr="001807FE">
        <w:rPr>
          <w:rStyle w:val="fontstyle01"/>
          <w:rFonts w:asciiTheme="majorBidi" w:hAnsiTheme="majorBidi" w:cstheme="majorBidi"/>
        </w:rPr>
        <w:t>.</w:t>
      </w:r>
      <w:r w:rsidR="00C8331F" w:rsidRPr="001807FE">
        <w:rPr>
          <w:rStyle w:val="fontstyle01"/>
          <w:rFonts w:asciiTheme="majorBidi" w:hAnsiTheme="majorBidi" w:cstheme="majorBidi"/>
        </w:rPr>
        <w:t xml:space="preserve"> </w:t>
      </w:r>
      <w:r w:rsidR="006B1E5C" w:rsidRPr="006B1E5C">
        <w:rPr>
          <w:rStyle w:val="fontstyle01"/>
          <w:rFonts w:asciiTheme="majorBidi" w:hAnsiTheme="majorBidi" w:cstheme="majorBidi"/>
        </w:rPr>
        <w:t>In this regards</w:t>
      </w:r>
      <w:r w:rsidR="006B1E5C">
        <w:rPr>
          <w:rStyle w:val="fontstyle01"/>
          <w:rFonts w:asciiTheme="majorBidi" w:hAnsiTheme="majorBidi" w:cstheme="majorBidi"/>
        </w:rPr>
        <w:t>, l</w:t>
      </w:r>
      <w:r w:rsidR="00C8331F" w:rsidRPr="001807FE">
        <w:rPr>
          <w:rStyle w:val="fontstyle01"/>
          <w:rFonts w:asciiTheme="majorBidi" w:hAnsiTheme="majorBidi" w:cstheme="majorBidi"/>
        </w:rPr>
        <w:t xml:space="preserve">ogistic regression is used to assess the probabilities of an outcome while controlling for certain clinical variables. </w:t>
      </w:r>
      <w:r w:rsidR="00360700" w:rsidRPr="001807FE">
        <w:rPr>
          <w:rFonts w:asciiTheme="majorBidi" w:hAnsiTheme="majorBidi" w:cstheme="majorBidi"/>
          <w:sz w:val="24"/>
          <w:szCs w:val="24"/>
        </w:rPr>
        <w:t>Our multivariable analysis indicated links between NLR, age,</w:t>
      </w:r>
      <w:r w:rsidR="006A1D91">
        <w:rPr>
          <w:rFonts w:asciiTheme="majorBidi" w:hAnsiTheme="majorBidi" w:cstheme="majorBidi"/>
          <w:sz w:val="24"/>
          <w:szCs w:val="24"/>
        </w:rPr>
        <w:t xml:space="preserve"> and</w:t>
      </w:r>
      <w:r w:rsidR="00360700" w:rsidRPr="001807FE">
        <w:rPr>
          <w:rFonts w:asciiTheme="majorBidi" w:hAnsiTheme="majorBidi" w:cstheme="majorBidi"/>
          <w:sz w:val="24"/>
          <w:szCs w:val="24"/>
        </w:rPr>
        <w:t xml:space="preserve"> level of consciousness with mortality rate. In an adjusted multivariate logistic regression model, only the level of consciousness remained </w:t>
      </w:r>
      <w:r w:rsidR="00BF1B4D">
        <w:rPr>
          <w:rFonts w:asciiTheme="majorBidi" w:hAnsiTheme="majorBidi" w:cstheme="majorBidi"/>
          <w:sz w:val="24"/>
          <w:szCs w:val="24"/>
        </w:rPr>
        <w:t xml:space="preserve">at </w:t>
      </w:r>
      <w:r w:rsidR="00360700" w:rsidRPr="001807FE">
        <w:rPr>
          <w:rFonts w:asciiTheme="majorBidi" w:hAnsiTheme="majorBidi" w:cstheme="majorBidi"/>
          <w:sz w:val="24"/>
          <w:szCs w:val="24"/>
        </w:rPr>
        <w:t xml:space="preserve">statistical significance after accounting for these unique variables. These findings support the concept that hydrocephalus is a complex disease. Although a causative association cannot be shown in this research, some of these parameters appear to be relevant to the progression of acute hydrocephalus. The relationship between these measures, independent of the exact etiopathogenesis, provides clinically relevant details for the management of hydrocephalus </w:t>
      </w:r>
      <w:r w:rsidR="00360700" w:rsidRPr="001807FE">
        <w:rPr>
          <w:rFonts w:asciiTheme="majorBidi" w:hAnsiTheme="majorBidi" w:cstheme="majorBidi"/>
          <w:sz w:val="24"/>
          <w:szCs w:val="24"/>
        </w:rPr>
        <w:lastRenderedPageBreak/>
        <w:t xml:space="preserve">after EVD. Following that, we discovered that having an NLR </w:t>
      </w:r>
      <w:r w:rsidR="00151C15">
        <w:rPr>
          <w:rFonts w:asciiTheme="majorBidi" w:hAnsiTheme="majorBidi" w:cstheme="majorBidi"/>
          <w:sz w:val="24"/>
          <w:szCs w:val="24"/>
        </w:rPr>
        <w:t xml:space="preserve">&gt; </w:t>
      </w:r>
      <w:r w:rsidR="003A6E4D">
        <w:rPr>
          <w:rFonts w:asciiTheme="majorBidi" w:hAnsiTheme="majorBidi" w:cstheme="majorBidi"/>
          <w:sz w:val="24"/>
          <w:szCs w:val="24"/>
        </w:rPr>
        <w:t>8.88</w:t>
      </w:r>
      <w:r w:rsidR="00151C15">
        <w:rPr>
          <w:rFonts w:asciiTheme="majorBidi" w:hAnsiTheme="majorBidi" w:cstheme="majorBidi"/>
          <w:sz w:val="24"/>
          <w:szCs w:val="24"/>
        </w:rPr>
        <w:t xml:space="preserve"> with a GCS score &lt; </w:t>
      </w:r>
      <w:r w:rsidR="00360700" w:rsidRPr="001807FE">
        <w:rPr>
          <w:rFonts w:asciiTheme="majorBidi" w:hAnsiTheme="majorBidi" w:cstheme="majorBidi"/>
          <w:sz w:val="24"/>
          <w:szCs w:val="24"/>
        </w:rPr>
        <w:t xml:space="preserve">8 (coma and </w:t>
      </w:r>
      <w:proofErr w:type="spellStart"/>
      <w:r w:rsidR="00360700" w:rsidRPr="001807FE">
        <w:rPr>
          <w:rFonts w:asciiTheme="majorBidi" w:hAnsiTheme="majorBidi" w:cstheme="majorBidi"/>
          <w:sz w:val="24"/>
          <w:szCs w:val="24"/>
        </w:rPr>
        <w:t>semicoma</w:t>
      </w:r>
      <w:proofErr w:type="spellEnd"/>
      <w:r w:rsidR="00360700" w:rsidRPr="001807FE">
        <w:rPr>
          <w:rFonts w:asciiTheme="majorBidi" w:hAnsiTheme="majorBidi" w:cstheme="majorBidi"/>
          <w:sz w:val="24"/>
          <w:szCs w:val="24"/>
        </w:rPr>
        <w:t xml:space="preserve">) was associated with higher mortality and a worse prognosis after EVD in hydrophilic patients. Other studies revealed the same finding; however, many of them did not show that the treatment approach </w:t>
      </w:r>
      <w:r w:rsidR="00BF1B4D">
        <w:rPr>
          <w:rFonts w:asciiTheme="majorBidi" w:hAnsiTheme="majorBidi" w:cstheme="majorBidi"/>
          <w:sz w:val="24"/>
          <w:szCs w:val="24"/>
        </w:rPr>
        <w:t>affected</w:t>
      </w:r>
      <w:r w:rsidR="006B1E5C">
        <w:rPr>
          <w:rFonts w:asciiTheme="majorBidi" w:hAnsiTheme="majorBidi" w:cstheme="majorBidi"/>
          <w:sz w:val="24"/>
          <w:szCs w:val="24"/>
        </w:rPr>
        <w:t xml:space="preserve"> the outcome</w:t>
      </w:r>
      <w:r w:rsidR="00360700" w:rsidRPr="001807FE">
        <w:rPr>
          <w:rFonts w:asciiTheme="majorBidi" w:hAnsiTheme="majorBidi" w:cstheme="majorBidi"/>
          <w:sz w:val="24"/>
          <w:szCs w:val="24"/>
        </w:rPr>
        <w:t xml:space="preserve">. </w:t>
      </w:r>
      <w:r w:rsidR="00601B2C" w:rsidRPr="00601B2C">
        <w:rPr>
          <w:rFonts w:asciiTheme="majorBidi" w:hAnsiTheme="majorBidi" w:cstheme="majorBidi"/>
          <w:sz w:val="24"/>
          <w:szCs w:val="24"/>
        </w:rPr>
        <w:t xml:space="preserve">According to one study, individuals who had </w:t>
      </w:r>
      <w:r w:rsidR="006B1E5C" w:rsidRPr="006B1E5C">
        <w:rPr>
          <w:rFonts w:asciiTheme="majorBidi" w:hAnsiTheme="majorBidi" w:cstheme="majorBidi"/>
          <w:sz w:val="24"/>
          <w:szCs w:val="24"/>
        </w:rPr>
        <w:t xml:space="preserve">intracranial aneurysms </w:t>
      </w:r>
      <w:r w:rsidR="00601B2C" w:rsidRPr="00601B2C">
        <w:rPr>
          <w:rFonts w:asciiTheme="majorBidi" w:hAnsiTheme="majorBidi" w:cstheme="majorBidi"/>
          <w:sz w:val="24"/>
          <w:szCs w:val="24"/>
        </w:rPr>
        <w:t>and an increased NLR on admission had a gre</w:t>
      </w:r>
      <w:r w:rsidR="00601B2C">
        <w:rPr>
          <w:rFonts w:asciiTheme="majorBidi" w:hAnsiTheme="majorBidi" w:cstheme="majorBidi"/>
          <w:sz w:val="24"/>
          <w:szCs w:val="24"/>
        </w:rPr>
        <w:t>ater in-hospital mortality rate</w:t>
      </w:r>
      <w:r w:rsidR="00360700" w:rsidRPr="001807FE">
        <w:rPr>
          <w:rFonts w:asciiTheme="majorBidi" w:hAnsiTheme="majorBidi" w:cstheme="majorBidi"/>
          <w:sz w:val="24"/>
          <w:szCs w:val="24"/>
        </w:rPr>
        <w:t>, although there were inadequate statistical measures to control for relevant variables</w:t>
      </w:r>
      <w:r w:rsidR="005226E6">
        <w:rPr>
          <w:rFonts w:asciiTheme="majorBidi" w:hAnsiTheme="majorBidi" w:cstheme="majorBidi"/>
          <w:sz w:val="24"/>
          <w:szCs w:val="24"/>
        </w:rPr>
        <w:t xml:space="preserve"> </w:t>
      </w:r>
      <w:r w:rsidR="005226E6">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&lt;EndNote&gt;&lt;Cite&gt;&lt;Author&gt;Zhang&lt;/Author&gt;&lt;Year&gt;2021&lt;/Year&gt;&lt;RecNum&gt;33&lt;/RecNum&gt;&lt;DisplayText&gt;(33)&lt;/DisplayText&gt;&lt;record&gt;&lt;rec-number&gt;33&lt;/rec-number&gt;&lt;foreign-keys&gt;&lt;key app="EN" db-id="rr0ve5twvwadv9eezf4x2wz3awv0sxessv5p" timestamp="1687930704"&gt;33&lt;/key&gt;&lt;/foreign-keys&gt;&lt;ref-type name="Journal Article"&gt;17&lt;/ref-type&gt;&lt;contributors&gt;&lt;authors&gt;&lt;author&gt;Zhang, Baorui&lt;/author&gt;&lt;author&gt;Lin, Lin&lt;/author&gt;&lt;author&gt;Yuan, Fei&lt;/author&gt;&lt;author&gt;Song, Guangrong&lt;/author&gt;&lt;author&gt;Chang, Qing&lt;/author&gt;&lt;author&gt;Wu, Zhongxue&lt;/author&gt;&lt;author&gt;Miao, Zhongrong&lt;/author&gt;&lt;author&gt;Mo, Dapeng&lt;/author&gt;&lt;author&gt;Huo, Xiaochuan&lt;/author&gt;&lt;author&gt;Liu, Aihua&lt;/author&gt;&lt;/authors&gt;&lt;/contributors&gt;&lt;titles&gt;&lt;title&gt;Clinical application values of neutrophil-to-lymphocyte ratio in intracranial aneurysms&lt;/title&gt;&lt;secondary-title&gt;Aging (Albany NY)&lt;/secondary-title&gt;&lt;/titles&gt;&lt;periodical&gt;&lt;full-title&gt;Aging (Albany NY)&lt;/full-title&gt;&lt;/periodical&gt;&lt;pages&gt;5250&lt;/pages&gt;&lt;volume&gt;13&lt;/volume&gt;&lt;number&gt;4&lt;/number&gt;&lt;dates&gt;&lt;year&gt;2021&lt;/year&gt;&lt;/dates&gt;&lt;urls&gt;&lt;/urls&gt;&lt;/record&gt;&lt;/Cite&gt;&lt;/EndNote&gt;</w:instrText>
      </w:r>
      <w:r w:rsidR="005226E6">
        <w:rPr>
          <w:rFonts w:asciiTheme="majorBidi" w:hAnsiTheme="majorBidi" w:cstheme="majorBidi"/>
          <w:sz w:val="24"/>
          <w:szCs w:val="24"/>
        </w:rPr>
        <w:fldChar w:fldCharType="separate"/>
      </w:r>
      <w:r w:rsidR="009C0CB3">
        <w:rPr>
          <w:rFonts w:asciiTheme="majorBidi" w:hAnsiTheme="majorBidi" w:cstheme="majorBidi"/>
          <w:noProof/>
          <w:sz w:val="24"/>
          <w:szCs w:val="24"/>
        </w:rPr>
        <w:t>(33)</w:t>
      </w:r>
      <w:r w:rsidR="005226E6">
        <w:rPr>
          <w:rFonts w:asciiTheme="majorBidi" w:hAnsiTheme="majorBidi" w:cstheme="majorBidi"/>
          <w:sz w:val="24"/>
          <w:szCs w:val="24"/>
        </w:rPr>
        <w:fldChar w:fldCharType="end"/>
      </w:r>
      <w:r w:rsidR="00360700" w:rsidRPr="001807FE">
        <w:rPr>
          <w:rFonts w:asciiTheme="majorBidi" w:hAnsiTheme="majorBidi" w:cstheme="majorBidi"/>
          <w:sz w:val="24"/>
          <w:szCs w:val="24"/>
        </w:rPr>
        <w:t>.</w:t>
      </w:r>
      <w:r w:rsidR="00E70100" w:rsidRPr="001807FE">
        <w:rPr>
          <w:rFonts w:asciiTheme="majorBidi" w:hAnsiTheme="majorBidi" w:cstheme="majorBidi"/>
          <w:sz w:val="24"/>
          <w:szCs w:val="24"/>
        </w:rPr>
        <w:t xml:space="preserve"> </w:t>
      </w:r>
      <w:r w:rsidR="00601B2C" w:rsidRPr="00601B2C">
        <w:rPr>
          <w:rFonts w:asciiTheme="majorBidi" w:hAnsiTheme="majorBidi" w:cstheme="majorBidi"/>
          <w:sz w:val="24"/>
          <w:szCs w:val="24"/>
        </w:rPr>
        <w:t>A further investigation discovered that NLR can be used as an independent biomarker to predict clinical results following aneurysm rupture. However, age was not included in th</w:t>
      </w:r>
      <w:r w:rsidR="00601B2C">
        <w:rPr>
          <w:rFonts w:asciiTheme="majorBidi" w:hAnsiTheme="majorBidi" w:cstheme="majorBidi"/>
          <w:sz w:val="24"/>
          <w:szCs w:val="24"/>
        </w:rPr>
        <w:t>e multivariate regression model</w:t>
      </w:r>
      <w:r w:rsidR="005226E6">
        <w:rPr>
          <w:rFonts w:asciiTheme="majorBidi" w:hAnsiTheme="majorBidi" w:cstheme="majorBidi"/>
          <w:sz w:val="24"/>
          <w:szCs w:val="24"/>
        </w:rPr>
        <w:t xml:space="preserve"> </w:t>
      </w:r>
      <w:r w:rsidR="005226E6">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&lt;EndNote&gt;&lt;Cite&gt;&lt;Author&gt;Tao&lt;/Author&gt;&lt;Year&gt;2017&lt;/Year&gt;&lt;RecNum&gt;34&lt;/RecNum&gt;&lt;DisplayText&gt;(34)&lt;/DisplayText&gt;&lt;record&gt;&lt;rec-number&gt;34&lt;/rec-number&gt;&lt;foreign-keys&gt;&lt;key app="EN" db-id="rr0ve5twvwadv9eezf4x2wz3awv0sxessv5p" timestamp="1687930889"&gt;34&lt;/key&gt;&lt;/foreign-keys&gt;&lt;ref-type name="Journal Article"&gt;17&lt;/ref-type&gt;&lt;contributors&gt;&lt;authors&gt;&lt;author&gt;Tao, Chuanyuan&lt;/author&gt;&lt;author&gt;Wang, Jiajing&lt;/author&gt;&lt;author&gt;Hu, Xin&lt;/author&gt;&lt;author&gt;Ma, Junpeng&lt;/author&gt;&lt;author&gt;Li, Hao&lt;/author&gt;&lt;author&gt;You, Chao&lt;/author&gt;&lt;/authors&gt;&lt;/contributors&gt;&lt;titles&gt;&lt;title&gt;Clinical value of neutrophil to lymphocyte and platelet to lymphocyte ratio after aneurysmal subarachnoid hemorrhage&lt;/title&gt;&lt;secondary-title&gt;Neurocritical care&lt;/secondary-title&gt;&lt;/titles&gt;&lt;periodical&gt;&lt;full-title&gt;Neurocritical Care&lt;/full-title&gt;&lt;/periodical&gt;&lt;pages&gt;393-401&lt;/pages&gt;&lt;volume&gt;26&lt;/volume&gt;&lt;dates&gt;&lt;year&gt;2017&lt;/year&gt;&lt;/dates&gt;&lt;isbn&gt;1541-6933&lt;/isbn&gt;&lt;urls&gt;&lt;/urls&gt;&lt;/record&gt;&lt;/Cite&gt;&lt;/EndNote&gt;</w:instrText>
      </w:r>
      <w:r w:rsidR="005226E6">
        <w:rPr>
          <w:rFonts w:asciiTheme="majorBidi" w:hAnsiTheme="majorBidi" w:cstheme="majorBidi"/>
          <w:sz w:val="24"/>
          <w:szCs w:val="24"/>
        </w:rPr>
        <w:fldChar w:fldCharType="separate"/>
      </w:r>
      <w:r w:rsidR="009C0CB3">
        <w:rPr>
          <w:rFonts w:asciiTheme="majorBidi" w:hAnsiTheme="majorBidi" w:cstheme="majorBidi"/>
          <w:noProof/>
          <w:sz w:val="24"/>
          <w:szCs w:val="24"/>
        </w:rPr>
        <w:t>(34)</w:t>
      </w:r>
      <w:r w:rsidR="005226E6">
        <w:rPr>
          <w:rFonts w:asciiTheme="majorBidi" w:hAnsiTheme="majorBidi" w:cstheme="majorBidi"/>
          <w:sz w:val="24"/>
          <w:szCs w:val="24"/>
        </w:rPr>
        <w:fldChar w:fldCharType="end"/>
      </w:r>
      <w:r w:rsidR="00601B2C">
        <w:rPr>
          <w:rFonts w:asciiTheme="majorBidi" w:hAnsiTheme="majorBidi" w:cstheme="majorBidi"/>
          <w:sz w:val="24"/>
          <w:szCs w:val="24"/>
        </w:rPr>
        <w:t>.</w:t>
      </w:r>
      <w:r w:rsidR="00657717" w:rsidRPr="001807FE">
        <w:rPr>
          <w:rFonts w:asciiTheme="majorBidi" w:hAnsiTheme="majorBidi" w:cstheme="majorBidi"/>
          <w:sz w:val="24"/>
          <w:szCs w:val="24"/>
        </w:rPr>
        <w:t xml:space="preserve"> Menon et al. conducted a similar investigation. In this work, the NLR was investigated as a new prognostic predictor following intracerebral </w:t>
      </w:r>
      <w:r w:rsidR="001807FE" w:rsidRPr="001807FE">
        <w:rPr>
          <w:rFonts w:asciiTheme="majorBidi" w:hAnsiTheme="majorBidi" w:cstheme="majorBidi"/>
          <w:sz w:val="24"/>
          <w:szCs w:val="24"/>
        </w:rPr>
        <w:t>hemorrhage</w:t>
      </w:r>
      <w:r w:rsidR="00657717" w:rsidRPr="001807FE">
        <w:rPr>
          <w:rFonts w:asciiTheme="majorBidi" w:hAnsiTheme="majorBidi" w:cstheme="majorBidi"/>
          <w:sz w:val="24"/>
          <w:szCs w:val="24"/>
        </w:rPr>
        <w:t xml:space="preserve">. Higher NLR on admission was independently connected to death and 90-day prognosis following </w:t>
      </w:r>
      <w:r w:rsidR="005226E6" w:rsidRPr="005226E6">
        <w:rPr>
          <w:rFonts w:asciiTheme="majorBidi" w:hAnsiTheme="majorBidi" w:cstheme="majorBidi"/>
          <w:sz w:val="24"/>
          <w:szCs w:val="24"/>
        </w:rPr>
        <w:t>intracerebral hemorrhage</w:t>
      </w:r>
      <w:r w:rsidR="005226E6">
        <w:rPr>
          <w:rFonts w:asciiTheme="majorBidi" w:hAnsiTheme="majorBidi" w:cstheme="majorBidi"/>
          <w:sz w:val="24"/>
          <w:szCs w:val="24"/>
        </w:rPr>
        <w:t xml:space="preserve"> </w:t>
      </w:r>
      <w:r w:rsidR="005226E6">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&lt;EndNote&gt;&lt;Cite&gt;&lt;Author&gt;Menon&lt;/Author&gt;&lt;Year&gt;2021&lt;/Year&gt;&lt;RecNum&gt;35&lt;/RecNum&gt;&lt;DisplayText&gt;(35)&lt;/DisplayText&gt;&lt;record&gt;&lt;rec-number&gt;35&lt;/rec-number&gt;&lt;foreign-keys&gt;&lt;key app="EN" db-id="rr0ve5twvwadv9eezf4x2wz3awv0sxessv5p" timestamp="1687930967"&gt;35&lt;/key&gt;&lt;/foreign-keys&gt;&lt;ref-type name="Journal Article"&gt;17&lt;/ref-type&gt;&lt;contributors&gt;&lt;authors&gt;&lt;author&gt;Menon, Girish&lt;/author&gt;&lt;author&gt;Johnson, Sarah Estar&lt;/author&gt;&lt;author&gt;Hegde, Ajay&lt;/author&gt;&lt;author&gt;Rathod, Sanjeev&lt;/author&gt;&lt;author&gt;Nayak, Raghavendra&lt;/author&gt;&lt;author&gt;Nair, Rajesh&lt;/author&gt;&lt;/authors&gt;&lt;/contributors&gt;&lt;titles&gt;&lt;title&gt;Neutrophil to lymphocyte ratio–A novel prognostic marker following spontaneous intracerebral haemorrhage&lt;/title&gt;&lt;secondary-title&gt;Clinical Neurology and Neurosurgery&lt;/secondary-title&gt;&lt;/titles&gt;&lt;periodical&gt;&lt;full-title&gt;Clinical Neurology and Neurosurgery&lt;/full-title&gt;&lt;/periodical&gt;&lt;pages&gt;106339&lt;/pages&gt;&lt;volume&gt;200&lt;/volume&gt;&lt;dates&gt;&lt;year&gt;2021&lt;/year&gt;&lt;/dates&gt;&lt;isbn&gt;0303-8467&lt;/isbn&gt;&lt;urls&gt;&lt;/urls&gt;&lt;/record&gt;&lt;/Cite&gt;&lt;/EndNote&gt;</w:instrText>
      </w:r>
      <w:r w:rsidR="005226E6">
        <w:rPr>
          <w:rFonts w:asciiTheme="majorBidi" w:hAnsiTheme="majorBidi" w:cstheme="majorBidi"/>
          <w:sz w:val="24"/>
          <w:szCs w:val="24"/>
        </w:rPr>
        <w:fldChar w:fldCharType="separate"/>
      </w:r>
      <w:r w:rsidR="009C0CB3">
        <w:rPr>
          <w:rFonts w:asciiTheme="majorBidi" w:hAnsiTheme="majorBidi" w:cstheme="majorBidi"/>
          <w:noProof/>
          <w:sz w:val="24"/>
          <w:szCs w:val="24"/>
        </w:rPr>
        <w:t>(35)</w:t>
      </w:r>
      <w:r w:rsidR="005226E6">
        <w:rPr>
          <w:rFonts w:asciiTheme="majorBidi" w:hAnsiTheme="majorBidi" w:cstheme="majorBidi"/>
          <w:sz w:val="24"/>
          <w:szCs w:val="24"/>
        </w:rPr>
        <w:fldChar w:fldCharType="end"/>
      </w:r>
      <w:r w:rsidR="005226E6">
        <w:rPr>
          <w:rFonts w:asciiTheme="majorBidi" w:hAnsiTheme="majorBidi" w:cstheme="majorBidi"/>
          <w:sz w:val="24"/>
          <w:szCs w:val="24"/>
        </w:rPr>
        <w:t>. Wang et al.</w:t>
      </w:r>
      <w:r w:rsidR="00657717" w:rsidRPr="001807FE">
        <w:rPr>
          <w:rFonts w:asciiTheme="majorBidi" w:hAnsiTheme="majorBidi" w:cstheme="majorBidi"/>
          <w:sz w:val="24"/>
          <w:szCs w:val="24"/>
        </w:rPr>
        <w:t xml:space="preserve"> discovered a link between NLR levels and 30-day mortality by observing that </w:t>
      </w:r>
      <w:r w:rsidR="005A2226">
        <w:rPr>
          <w:rFonts w:asciiTheme="majorBidi" w:hAnsiTheme="majorBidi" w:cstheme="majorBidi"/>
          <w:sz w:val="24"/>
          <w:szCs w:val="24"/>
        </w:rPr>
        <w:t>p</w:t>
      </w:r>
      <w:r w:rsidR="005A2226" w:rsidRPr="005A2226">
        <w:rPr>
          <w:rFonts w:asciiTheme="majorBidi" w:hAnsiTheme="majorBidi" w:cstheme="majorBidi"/>
          <w:sz w:val="24"/>
          <w:szCs w:val="24"/>
        </w:rPr>
        <w:t>atients who died the next day after admission had considerably greater NLR than survivors</w:t>
      </w:r>
      <w:r w:rsidR="005226E6">
        <w:rPr>
          <w:rFonts w:asciiTheme="majorBidi" w:hAnsiTheme="majorBidi" w:cstheme="majorBidi"/>
          <w:sz w:val="24"/>
          <w:szCs w:val="24"/>
        </w:rPr>
        <w:t xml:space="preserve"> </w:t>
      </w:r>
      <w:r w:rsidR="005226E6">
        <w:rPr>
          <w:rFonts w:asciiTheme="majorBidi" w:hAnsiTheme="majorBidi" w:cstheme="majorBidi"/>
          <w:sz w:val="24"/>
          <w:szCs w:val="24"/>
        </w:rPr>
        <w:fldChar w:fldCharType="begin"/>
      </w:r>
      <w:r w:rsidR="009C0CB3">
        <w:rPr>
          <w:rFonts w:asciiTheme="majorBidi" w:hAnsiTheme="majorBidi" w:cstheme="majorBidi"/>
          <w:sz w:val="24"/>
          <w:szCs w:val="24"/>
        </w:rPr>
        <w:instrText xml:space="preserve"> ADDIN EN.CITE &lt;EndNote&gt;&lt;Cite&gt;&lt;Author&gt;Wang&lt;/Author&gt;&lt;Year&gt;2016&lt;/Year&gt;&lt;RecNum&gt;36&lt;/RecNum&gt;&lt;DisplayText&gt;(36)&lt;/DisplayText&gt;&lt;record&gt;&lt;rec-number&gt;36&lt;/rec-number&gt;&lt;foreign-keys&gt;&lt;key app="EN" db-id="rr0ve5twvwadv9eezf4x2wz3awv0sxessv5p" timestamp="1687931225"&gt;36&lt;/key&gt;&lt;/foreign-keys&gt;&lt;ref-type name="Journal Article"&gt;17&lt;/ref-type&gt;&lt;contributors&gt;&lt;authors&gt;&lt;author&gt;Wang, Fei&lt;/author&gt;&lt;author&gt;Hu, Shanyou&lt;/author&gt;&lt;author&gt;Ding, Yong&lt;/author&gt;&lt;author&gt;Ju, Xuefeng&lt;/author&gt;&lt;author&gt;Wang, Li&lt;/author&gt;&lt;author&gt;Lu, Qiuxia&lt;/author&gt;&lt;author&gt;Wu, Xiao&lt;/author&gt;&lt;/authors&gt;&lt;/contributors&gt;&lt;titles&gt;&lt;title&gt;Neutrophil-to-lymphocyte ratio and 30-day mortality in patients with acute intracerebral hemorrhage&lt;/title&gt;&lt;secondary-title&gt;Journal of Stroke and Cerebrovascular Diseases&lt;/secondary-title&gt;&lt;/titles&gt;&lt;periodical&gt;&lt;full-title&gt;Journal of Stroke and Cerebrovascular Diseases&lt;/full-title&gt;&lt;/periodical&gt;&lt;pages&gt;182-187&lt;/pages&gt;&lt;volume&gt;25&lt;/volume&gt;&lt;number&gt;1&lt;/number&gt;&lt;dates&gt;&lt;year&gt;2016&lt;/year&gt;&lt;/dates&gt;&lt;isbn&gt;1052-3057&lt;/isbn&gt;&lt;urls&gt;&lt;/urls&gt;&lt;/record&gt;&lt;/Cite&gt;&lt;/EndNote&gt;</w:instrText>
      </w:r>
      <w:r w:rsidR="005226E6">
        <w:rPr>
          <w:rFonts w:asciiTheme="majorBidi" w:hAnsiTheme="majorBidi" w:cstheme="majorBidi"/>
          <w:sz w:val="24"/>
          <w:szCs w:val="24"/>
        </w:rPr>
        <w:fldChar w:fldCharType="separate"/>
      </w:r>
      <w:r w:rsidR="009C0CB3">
        <w:rPr>
          <w:rFonts w:asciiTheme="majorBidi" w:hAnsiTheme="majorBidi" w:cstheme="majorBidi"/>
          <w:noProof/>
          <w:sz w:val="24"/>
          <w:szCs w:val="24"/>
        </w:rPr>
        <w:t>(36)</w:t>
      </w:r>
      <w:r w:rsidR="005226E6">
        <w:rPr>
          <w:rFonts w:asciiTheme="majorBidi" w:hAnsiTheme="majorBidi" w:cstheme="majorBidi"/>
          <w:sz w:val="24"/>
          <w:szCs w:val="24"/>
        </w:rPr>
        <w:fldChar w:fldCharType="end"/>
      </w:r>
      <w:r w:rsidR="005A2226" w:rsidRPr="005A2226">
        <w:rPr>
          <w:rFonts w:asciiTheme="majorBidi" w:hAnsiTheme="majorBidi" w:cstheme="majorBidi"/>
          <w:sz w:val="24"/>
          <w:szCs w:val="24"/>
        </w:rPr>
        <w:t>.</w:t>
      </w:r>
      <w:r w:rsidR="005A2226">
        <w:rPr>
          <w:rFonts w:asciiTheme="majorBidi" w:hAnsiTheme="majorBidi" w:cstheme="majorBidi"/>
          <w:sz w:val="24"/>
          <w:szCs w:val="24"/>
        </w:rPr>
        <w:t xml:space="preserve"> </w:t>
      </w:r>
      <w:r w:rsidR="00B44505" w:rsidRPr="001807FE">
        <w:rPr>
          <w:rStyle w:val="fontstyle01"/>
          <w:rFonts w:asciiTheme="majorBidi" w:hAnsiTheme="majorBidi" w:cstheme="majorBidi"/>
        </w:rPr>
        <w:t xml:space="preserve">They suggested 7.35 as the best NLR threshold value for distinguishing survivors from non-survivors and confirmed their findings in a second study, which determined NLR </w:t>
      </w:r>
      <w:r w:rsidR="00151C15">
        <w:rPr>
          <w:rStyle w:val="fontstyle01"/>
          <w:rFonts w:asciiTheme="majorBidi" w:hAnsiTheme="majorBidi" w:cstheme="majorBidi"/>
        </w:rPr>
        <w:t>&gt;</w:t>
      </w:r>
      <w:r w:rsidR="005A2226">
        <w:rPr>
          <w:rStyle w:val="fontstyle01"/>
          <w:rFonts w:asciiTheme="majorBidi" w:hAnsiTheme="majorBidi" w:cstheme="majorBidi"/>
        </w:rPr>
        <w:t xml:space="preserve"> 7.35 a</w:t>
      </w:r>
      <w:r w:rsidR="00B44505" w:rsidRPr="001807FE">
        <w:rPr>
          <w:rStyle w:val="fontstyle01"/>
          <w:rFonts w:asciiTheme="majorBidi" w:hAnsiTheme="majorBidi" w:cstheme="majorBidi"/>
        </w:rPr>
        <w:t xml:space="preserve"> </w:t>
      </w:r>
      <w:r w:rsidR="005A2226">
        <w:rPr>
          <w:rStyle w:val="fontstyle01"/>
          <w:rFonts w:asciiTheme="majorBidi" w:hAnsiTheme="majorBidi" w:cstheme="majorBidi"/>
        </w:rPr>
        <w:t>credible</w:t>
      </w:r>
      <w:r w:rsidR="00B44505" w:rsidRPr="001807FE">
        <w:rPr>
          <w:rStyle w:val="fontstyle01"/>
          <w:rFonts w:asciiTheme="majorBidi" w:hAnsiTheme="majorBidi" w:cstheme="majorBidi"/>
        </w:rPr>
        <w:t xml:space="preserve"> indicator of </w:t>
      </w:r>
      <w:r w:rsidR="005A2226">
        <w:rPr>
          <w:rStyle w:val="fontstyle01"/>
          <w:rFonts w:asciiTheme="majorBidi" w:hAnsiTheme="majorBidi" w:cstheme="majorBidi"/>
        </w:rPr>
        <w:t>worse</w:t>
      </w:r>
      <w:r w:rsidR="005226E6">
        <w:rPr>
          <w:rStyle w:val="fontstyle01"/>
          <w:rFonts w:asciiTheme="majorBidi" w:hAnsiTheme="majorBidi" w:cstheme="majorBidi"/>
        </w:rPr>
        <w:t xml:space="preserve"> short-term prognosis</w:t>
      </w:r>
      <w:r w:rsidR="00B44505" w:rsidRPr="001807FE">
        <w:rPr>
          <w:rStyle w:val="fontstyle01"/>
          <w:rFonts w:asciiTheme="majorBidi" w:hAnsiTheme="majorBidi" w:cstheme="majorBidi"/>
        </w:rPr>
        <w:t xml:space="preserve">. Wang et al </w:t>
      </w:r>
      <w:r w:rsidR="00C40292">
        <w:rPr>
          <w:rStyle w:val="fontstyle01"/>
          <w:rFonts w:asciiTheme="majorBidi" w:hAnsiTheme="majorBidi" w:cstheme="majorBidi"/>
        </w:rPr>
        <w:t xml:space="preserve">in other study </w:t>
      </w:r>
      <w:r w:rsidR="00B44505" w:rsidRPr="001807FE">
        <w:rPr>
          <w:rStyle w:val="fontstyle01"/>
          <w:rFonts w:asciiTheme="majorBidi" w:hAnsiTheme="majorBidi" w:cstheme="majorBidi"/>
        </w:rPr>
        <w:t>found that the increasing trend of NLR over one week was an additional ind</w:t>
      </w:r>
      <w:r w:rsidR="00C40292">
        <w:rPr>
          <w:rStyle w:val="fontstyle01"/>
          <w:rFonts w:asciiTheme="majorBidi" w:hAnsiTheme="majorBidi" w:cstheme="majorBidi"/>
        </w:rPr>
        <w:t xml:space="preserve">ependent indicator of death </w:t>
      </w:r>
      <w:r w:rsidR="00C40292">
        <w:rPr>
          <w:rStyle w:val="fontstyle01"/>
          <w:rFonts w:asciiTheme="majorBidi" w:hAnsiTheme="majorBidi" w:cstheme="majorBidi"/>
        </w:rPr>
        <w:fldChar w:fldCharType="begin"/>
      </w:r>
      <w:r w:rsidR="009C0CB3">
        <w:rPr>
          <w:rStyle w:val="fontstyle01"/>
          <w:rFonts w:asciiTheme="majorBidi" w:hAnsiTheme="majorBidi" w:cstheme="majorBidi"/>
        </w:rPr>
        <w:instrText xml:space="preserve"> ADDIN EN.CITE &lt;EndNote&gt;&lt;Cite&gt;&lt;Author&gt;Wang&lt;/Author&gt;&lt;Year&gt;2018&lt;/Year&gt;&lt;RecNum&gt;37&lt;/RecNum&gt;&lt;DisplayText&gt;(37)&lt;/DisplayText&gt;&lt;record&gt;&lt;rec-number&gt;37&lt;/rec-number&gt;&lt;foreign-keys&gt;&lt;key app="EN" db-id="rr0ve5twvwadv9eezf4x2wz3awv0sxessv5p" timestamp="1687931375"&gt;37&lt;/key&gt;&lt;/foreign-keys&gt;&lt;ref-type name="Journal Article"&gt;17&lt;/ref-type&gt;&lt;contributors&gt;&lt;authors&gt;&lt;author&gt;Wang, Fei&lt;/author&gt;&lt;author&gt;Wang, Li&lt;/author&gt;&lt;author&gt;Jiang, Ting-ting&lt;/author&gt;&lt;author&gt;Xia, Jian-jun&lt;/author&gt;&lt;author&gt;Xu, Feng&lt;/author&gt;&lt;author&gt;Shen, Li-juan&lt;/author&gt;&lt;author&gt;Kang, Wen-hui&lt;/author&gt;&lt;author&gt;Ding, Yong&lt;/author&gt;&lt;author&gt;Mei, Li-xia&lt;/author&gt;&lt;author&gt;Ju, Xue-feng&lt;/author&gt;&lt;/authors&gt;&lt;/contributors&gt;&lt;titles&gt;&lt;title&gt;Neutrophil-to-lymphocyte ratio is an independent predictor of 30-day mortality of intracerebral hemorrhage patients: a validation cohort study&lt;/title&gt;&lt;secondary-title&gt;Neurotoxicity Research&lt;/secondary-title&gt;&lt;/titles&gt;&lt;periodical&gt;&lt;full-title&gt;Neurotoxicity Research&lt;/full-title&gt;&lt;/periodical&gt;&lt;pages&gt;347-352&lt;/pages&gt;&lt;volume&gt;34&lt;/volume&gt;&lt;dates&gt;&lt;year&gt;2018&lt;/year&gt;&lt;/dates&gt;&lt;isbn&gt;1029-8428&lt;/isbn&gt;&lt;urls&gt;&lt;/urls&gt;&lt;/record&gt;&lt;/Cite&gt;&lt;/EndNote&gt;</w:instrText>
      </w:r>
      <w:r w:rsidR="00C40292">
        <w:rPr>
          <w:rStyle w:val="fontstyle01"/>
          <w:rFonts w:asciiTheme="majorBidi" w:hAnsiTheme="majorBidi" w:cstheme="majorBidi"/>
        </w:rPr>
        <w:fldChar w:fldCharType="separate"/>
      </w:r>
      <w:r w:rsidR="009C0CB3">
        <w:rPr>
          <w:rStyle w:val="fontstyle01"/>
          <w:rFonts w:asciiTheme="majorBidi" w:hAnsiTheme="majorBidi" w:cstheme="majorBidi"/>
          <w:noProof/>
        </w:rPr>
        <w:t>(37)</w:t>
      </w:r>
      <w:r w:rsidR="00C40292">
        <w:rPr>
          <w:rStyle w:val="fontstyle01"/>
          <w:rFonts w:asciiTheme="majorBidi" w:hAnsiTheme="majorBidi" w:cstheme="majorBidi"/>
        </w:rPr>
        <w:fldChar w:fldCharType="end"/>
      </w:r>
      <w:r w:rsidR="00B44505" w:rsidRPr="001807FE">
        <w:rPr>
          <w:rStyle w:val="fontstyle01"/>
          <w:rFonts w:asciiTheme="majorBidi" w:hAnsiTheme="majorBidi" w:cstheme="majorBidi"/>
        </w:rPr>
        <w:t xml:space="preserve">. According to </w:t>
      </w:r>
      <w:proofErr w:type="spellStart"/>
      <w:r w:rsidR="00B44505" w:rsidRPr="001807FE">
        <w:rPr>
          <w:rStyle w:val="fontstyle01"/>
          <w:rFonts w:asciiTheme="majorBidi" w:hAnsiTheme="majorBidi" w:cstheme="majorBidi"/>
        </w:rPr>
        <w:t>Gökhan</w:t>
      </w:r>
      <w:proofErr w:type="spellEnd"/>
      <w:r w:rsidR="00B44505" w:rsidRPr="001807FE">
        <w:rPr>
          <w:rStyle w:val="fontstyle01"/>
          <w:rFonts w:asciiTheme="majorBidi" w:hAnsiTheme="majorBidi" w:cstheme="majorBidi"/>
        </w:rPr>
        <w:t xml:space="preserve"> et al., </w:t>
      </w:r>
      <w:r w:rsidR="005A2226" w:rsidRPr="005A2226">
        <w:rPr>
          <w:rStyle w:val="fontstyle01"/>
          <w:rFonts w:asciiTheme="majorBidi" w:hAnsiTheme="majorBidi" w:cstheme="majorBidi"/>
        </w:rPr>
        <w:t xml:space="preserve">admission NLR values in dead </w:t>
      </w:r>
      <w:r w:rsidR="003A5F14">
        <w:rPr>
          <w:rStyle w:val="fontstyle01"/>
          <w:rFonts w:asciiTheme="majorBidi" w:hAnsiTheme="majorBidi" w:cstheme="majorBidi"/>
        </w:rPr>
        <w:t>subjects</w:t>
      </w:r>
      <w:r w:rsidR="005A2226" w:rsidRPr="005A2226">
        <w:rPr>
          <w:rStyle w:val="fontstyle01"/>
          <w:rFonts w:asciiTheme="majorBidi" w:hAnsiTheme="majorBidi" w:cstheme="majorBidi"/>
        </w:rPr>
        <w:t xml:space="preserve"> with acute cerebrovascular episodes were considerably greater</w:t>
      </w:r>
      <w:r w:rsidR="00B44505" w:rsidRPr="001807FE">
        <w:rPr>
          <w:rStyle w:val="fontstyle01"/>
          <w:rFonts w:asciiTheme="majorBidi" w:hAnsiTheme="majorBidi" w:cstheme="majorBidi"/>
        </w:rPr>
        <w:t xml:space="preserve"> than in survivors </w:t>
      </w:r>
      <w:r w:rsidR="00C40292">
        <w:rPr>
          <w:rStyle w:val="fontstyle01"/>
          <w:rFonts w:asciiTheme="majorBidi" w:hAnsiTheme="majorBidi" w:cstheme="majorBidi"/>
        </w:rPr>
        <w:fldChar w:fldCharType="begin"/>
      </w:r>
      <w:r w:rsidR="009C0CB3">
        <w:rPr>
          <w:rStyle w:val="fontstyle01"/>
          <w:rFonts w:asciiTheme="majorBidi" w:hAnsiTheme="majorBidi" w:cstheme="majorBidi"/>
        </w:rPr>
        <w:instrText xml:space="preserve"> ADDIN EN.CITE &lt;EndNote&gt;&lt;Cite&gt;&lt;Author&gt;Gökhan&lt;/Author&gt;&lt;Year&gt;2013&lt;/Year&gt;&lt;RecNum&gt;38&lt;/RecNum&gt;&lt;DisplayText&gt;(38)&lt;/DisplayText&gt;&lt;record&gt;&lt;rec-number&gt;38&lt;/rec-number&gt;&lt;foreign-keys&gt;&lt;key app="EN" db-id="rr0ve5twvwadv9eezf4x2wz3awv0sxessv5p" timestamp="1687931556"&gt;38&lt;/key&gt;&lt;/foreign-keys&gt;&lt;ref-type name="Journal Article"&gt;17&lt;/ref-type&gt;&lt;contributors&gt;&lt;authors&gt;&lt;author&gt;Gökhan, S&lt;/author&gt;&lt;author&gt;Ozhasenekler, A&lt;/author&gt;&lt;author&gt;Durgun, H Mansur&lt;/author&gt;&lt;author&gt;Akil, E&lt;/author&gt;&lt;author&gt;Ustündag, M&lt;/author&gt;&lt;author&gt;Orak, M&lt;/author&gt;&lt;/authors&gt;&lt;/contributors&gt;&lt;titles&gt;&lt;title&gt;Neutrophil lymphocyte ratios in stroke subtypes and transient ischemic attack&lt;/title&gt;&lt;secondary-title&gt;Age (mean±SD; y)&lt;/secondary-title&gt;&lt;/titles&gt;&lt;periodical&gt;&lt;full-title&gt;Age (mean±SD; y)&lt;/full-title&gt;&lt;/periodical&gt;&lt;pages&gt;11.13&lt;/pages&gt;&lt;volume&gt;67&lt;/volume&gt;&lt;dates&gt;&lt;year&gt;2013&lt;/year&gt;&lt;/dates&gt;&lt;urls&gt;&lt;/urls&gt;&lt;/record&gt;&lt;/Cite&gt;&lt;/EndNote&gt;</w:instrText>
      </w:r>
      <w:r w:rsidR="00C40292">
        <w:rPr>
          <w:rStyle w:val="fontstyle01"/>
          <w:rFonts w:asciiTheme="majorBidi" w:hAnsiTheme="majorBidi" w:cstheme="majorBidi"/>
        </w:rPr>
        <w:fldChar w:fldCharType="separate"/>
      </w:r>
      <w:r w:rsidR="009C0CB3">
        <w:rPr>
          <w:rStyle w:val="fontstyle01"/>
          <w:rFonts w:asciiTheme="majorBidi" w:hAnsiTheme="majorBidi" w:cstheme="majorBidi"/>
          <w:noProof/>
        </w:rPr>
        <w:t>(38)</w:t>
      </w:r>
      <w:r w:rsidR="00C40292">
        <w:rPr>
          <w:rStyle w:val="fontstyle01"/>
          <w:rFonts w:asciiTheme="majorBidi" w:hAnsiTheme="majorBidi" w:cstheme="majorBidi"/>
        </w:rPr>
        <w:fldChar w:fldCharType="end"/>
      </w:r>
      <w:r w:rsidR="00E70100" w:rsidRPr="001807FE">
        <w:rPr>
          <w:rStyle w:val="fontstyle01"/>
          <w:rFonts w:asciiTheme="majorBidi" w:hAnsiTheme="majorBidi" w:cstheme="majorBidi"/>
        </w:rPr>
        <w:t xml:space="preserve">. </w:t>
      </w:r>
      <w:r w:rsidR="00B44505" w:rsidRPr="001807FE">
        <w:rPr>
          <w:rStyle w:val="fontstyle01"/>
          <w:rFonts w:asciiTheme="majorBidi" w:hAnsiTheme="majorBidi" w:cstheme="majorBidi"/>
        </w:rPr>
        <w:t xml:space="preserve">Furthermore, a cohort revealed that the mean NLR in </w:t>
      </w:r>
      <w:r w:rsidR="003A5F14">
        <w:rPr>
          <w:rStyle w:val="fontstyle01"/>
          <w:rFonts w:asciiTheme="majorBidi" w:hAnsiTheme="majorBidi" w:cstheme="majorBidi"/>
        </w:rPr>
        <w:t>those</w:t>
      </w:r>
      <w:r w:rsidR="00B44505" w:rsidRPr="001807FE">
        <w:rPr>
          <w:rStyle w:val="fontstyle01"/>
          <w:rFonts w:asciiTheme="majorBidi" w:hAnsiTheme="majorBidi" w:cstheme="majorBidi"/>
        </w:rPr>
        <w:t xml:space="preserve"> who </w:t>
      </w:r>
      <w:r w:rsidR="003A5F14" w:rsidRPr="003A5F14">
        <w:rPr>
          <w:rStyle w:val="fontstyle01"/>
          <w:rFonts w:asciiTheme="majorBidi" w:hAnsiTheme="majorBidi" w:cstheme="majorBidi"/>
        </w:rPr>
        <w:t xml:space="preserve">worsened </w:t>
      </w:r>
      <w:r w:rsidR="00B44505" w:rsidRPr="001807FE">
        <w:rPr>
          <w:rStyle w:val="fontstyle01"/>
          <w:rFonts w:asciiTheme="majorBidi" w:hAnsiTheme="majorBidi" w:cstheme="majorBidi"/>
        </w:rPr>
        <w:t>was considerably greater, and the optimum threshold NLR in the study was 8.2</w:t>
      </w:r>
      <w:r w:rsidR="00C40292">
        <w:rPr>
          <w:rStyle w:val="fontstyle01"/>
          <w:rFonts w:asciiTheme="majorBidi" w:hAnsiTheme="majorBidi" w:cstheme="majorBidi"/>
        </w:rPr>
        <w:t xml:space="preserve"> </w:t>
      </w:r>
      <w:r w:rsidR="00C40292">
        <w:rPr>
          <w:rStyle w:val="fontstyle01"/>
          <w:rFonts w:asciiTheme="majorBidi" w:hAnsiTheme="majorBidi" w:cstheme="majorBidi"/>
        </w:rPr>
        <w:fldChar w:fldCharType="begin"/>
      </w:r>
      <w:r w:rsidR="009C0CB3">
        <w:rPr>
          <w:rStyle w:val="fontstyle01"/>
          <w:rFonts w:asciiTheme="majorBidi" w:hAnsiTheme="majorBidi" w:cstheme="majorBidi"/>
        </w:rPr>
        <w:instrText xml:space="preserve"> ADDIN EN.CITE &lt;EndNote&gt;&lt;Cite&gt;&lt;Author&gt;Menon&lt;/Author&gt;&lt;Year&gt;2021&lt;/Year&gt;&lt;RecNum&gt;39&lt;/RecNum&gt;&lt;DisplayText&gt;(35)&lt;/DisplayText&gt;&lt;record&gt;&lt;rec-number&gt;39&lt;/rec-number&gt;&lt;foreign-keys&gt;&lt;key app="EN" db-id="rr0ve5twvwadv9eezf4x2wz3awv0sxessv5p" timestamp="1687931731"&gt;39&lt;/key&gt;&lt;/foreign-keys&gt;&lt;ref-type name="Journal Article"&gt;17&lt;/ref-type&gt;&lt;contributors&gt;&lt;authors&gt;&lt;author&gt;Menon, Girish&lt;/author&gt;&lt;author&gt;Johnson, Sarah Estar&lt;/author&gt;&lt;author&gt;Hegde, Ajay&lt;/author&gt;&lt;author&gt;Rathod, Sanjeev&lt;/author&gt;&lt;author&gt;Nayak, Raghavendra&lt;/author&gt;&lt;author&gt;Nair, Rajesh&lt;/author&gt;&lt;/authors&gt;&lt;/contributors&gt;&lt;titles&gt;&lt;title&gt;Neutrophil to lymphocyte ratio–A novel prognostic marker following spontaneous intracerebral haemorrhage&lt;/title&gt;&lt;secondary-title&gt;Clinical Neurology and Neurosurgery&lt;/secondary-title&gt;&lt;/titles&gt;&lt;periodical&gt;&lt;full-title&gt;Clinical Neurology and Neurosurgery&lt;/full-title&gt;&lt;/periodical&gt;&lt;pages&gt;106339&lt;/pages&gt;&lt;volume&gt;200&lt;/volume&gt;&lt;dates&gt;&lt;year&gt;2021&lt;/year&gt;&lt;/dates&gt;&lt;isbn&gt;0303-8467&lt;/isbn&gt;&lt;urls&gt;&lt;/urls&gt;&lt;/record&gt;&lt;/Cite&gt;&lt;/EndNote&gt;</w:instrText>
      </w:r>
      <w:r w:rsidR="00C40292">
        <w:rPr>
          <w:rStyle w:val="fontstyle01"/>
          <w:rFonts w:asciiTheme="majorBidi" w:hAnsiTheme="majorBidi" w:cstheme="majorBidi"/>
        </w:rPr>
        <w:fldChar w:fldCharType="separate"/>
      </w:r>
      <w:r w:rsidR="009C0CB3">
        <w:rPr>
          <w:rStyle w:val="fontstyle01"/>
          <w:rFonts w:asciiTheme="majorBidi" w:hAnsiTheme="majorBidi" w:cstheme="majorBidi"/>
          <w:noProof/>
        </w:rPr>
        <w:t>(35)</w:t>
      </w:r>
      <w:r w:rsidR="00C40292">
        <w:rPr>
          <w:rStyle w:val="fontstyle01"/>
          <w:rFonts w:asciiTheme="majorBidi" w:hAnsiTheme="majorBidi" w:cstheme="majorBidi"/>
        </w:rPr>
        <w:fldChar w:fldCharType="end"/>
      </w:r>
      <w:r w:rsidR="00B44505" w:rsidRPr="001807FE">
        <w:rPr>
          <w:rStyle w:val="fontstyle01"/>
          <w:rFonts w:asciiTheme="majorBidi" w:hAnsiTheme="majorBidi" w:cstheme="majorBidi"/>
        </w:rPr>
        <w:t>. Our findings also support an association between NLR</w:t>
      </w:r>
      <w:r w:rsidR="00BF1B4D">
        <w:rPr>
          <w:rStyle w:val="fontstyle01"/>
          <w:rFonts w:asciiTheme="majorBidi" w:hAnsiTheme="majorBidi" w:cstheme="majorBidi"/>
        </w:rPr>
        <w:t xml:space="preserve"> </w:t>
      </w:r>
      <w:r w:rsidR="00B44505" w:rsidRPr="001807FE">
        <w:rPr>
          <w:rStyle w:val="fontstyle01"/>
          <w:rFonts w:asciiTheme="majorBidi" w:hAnsiTheme="majorBidi" w:cstheme="majorBidi"/>
        </w:rPr>
        <w:t xml:space="preserve">&gt; </w:t>
      </w:r>
      <w:r w:rsidR="003A6E4D">
        <w:rPr>
          <w:rStyle w:val="fontstyle01"/>
          <w:rFonts w:asciiTheme="majorBidi" w:hAnsiTheme="majorBidi" w:cstheme="majorBidi"/>
        </w:rPr>
        <w:t>8.88</w:t>
      </w:r>
      <w:r w:rsidR="00B44505" w:rsidRPr="001807FE">
        <w:rPr>
          <w:rStyle w:val="fontstyle01"/>
          <w:rFonts w:asciiTheme="majorBidi" w:hAnsiTheme="majorBidi" w:cstheme="majorBidi"/>
        </w:rPr>
        <w:t xml:space="preserve"> paired with </w:t>
      </w:r>
      <w:r w:rsidR="00BF1B4D">
        <w:rPr>
          <w:rStyle w:val="fontstyle01"/>
          <w:rFonts w:asciiTheme="majorBidi" w:hAnsiTheme="majorBidi" w:cstheme="majorBidi"/>
        </w:rPr>
        <w:t xml:space="preserve">a </w:t>
      </w:r>
      <w:r w:rsidR="00B44505" w:rsidRPr="001807FE">
        <w:rPr>
          <w:rStyle w:val="fontstyle01"/>
          <w:rFonts w:asciiTheme="majorBidi" w:hAnsiTheme="majorBidi" w:cstheme="majorBidi"/>
        </w:rPr>
        <w:t xml:space="preserve">GCS score </w:t>
      </w:r>
      <w:r w:rsidR="00BF1B4D">
        <w:rPr>
          <w:rStyle w:val="fontstyle01"/>
          <w:rFonts w:asciiTheme="majorBidi" w:hAnsiTheme="majorBidi" w:cstheme="majorBidi"/>
        </w:rPr>
        <w:t xml:space="preserve">&lt; </w:t>
      </w:r>
      <w:r w:rsidR="00B44505" w:rsidRPr="001807FE">
        <w:rPr>
          <w:rStyle w:val="fontstyle01"/>
          <w:rFonts w:asciiTheme="majorBidi" w:hAnsiTheme="majorBidi" w:cstheme="majorBidi"/>
        </w:rPr>
        <w:t>8 and a poor prognosis of hydrocephalus after EVD. This could be useful in assessing the outcomes of hydrophilic individuals treated with EVD in clinical settings. However, more research is needed to determine whether close monitoring of certain subsets of patients with hydrocephalus who have higher NLR can result in better outcome measures.</w:t>
      </w:r>
    </w:p>
    <w:p w14:paraId="37A197E5" w14:textId="77777777" w:rsidR="00E70100" w:rsidRPr="001807FE" w:rsidRDefault="003A5F14" w:rsidP="00D86B73">
      <w:pPr>
        <w:spacing w:line="360" w:lineRule="auto"/>
        <w:jc w:val="both"/>
        <w:rPr>
          <w:rStyle w:val="fontstyle01"/>
          <w:rFonts w:asciiTheme="majorBidi" w:hAnsiTheme="majorBidi" w:cstheme="majorBidi"/>
        </w:rPr>
      </w:pPr>
      <w:r w:rsidRPr="003A5F14">
        <w:rPr>
          <w:rStyle w:val="fontstyle01"/>
          <w:rFonts w:asciiTheme="majorBidi" w:hAnsiTheme="majorBidi" w:cstheme="majorBidi"/>
        </w:rPr>
        <w:t xml:space="preserve">Our study had some limitations that should be </w:t>
      </w:r>
      <w:r>
        <w:rPr>
          <w:rStyle w:val="fontstyle01"/>
          <w:rFonts w:asciiTheme="majorBidi" w:hAnsiTheme="majorBidi" w:cstheme="majorBidi"/>
        </w:rPr>
        <w:t>addressed</w:t>
      </w:r>
      <w:r w:rsidRPr="003A5F14">
        <w:rPr>
          <w:rStyle w:val="fontstyle01"/>
          <w:rFonts w:asciiTheme="majorBidi" w:hAnsiTheme="majorBidi" w:cstheme="majorBidi"/>
        </w:rPr>
        <w:t xml:space="preserve"> when interpreting.</w:t>
      </w:r>
      <w:r>
        <w:rPr>
          <w:rStyle w:val="fontstyle01"/>
          <w:rFonts w:asciiTheme="majorBidi" w:hAnsiTheme="majorBidi" w:cstheme="majorBidi"/>
        </w:rPr>
        <w:t xml:space="preserve"> </w:t>
      </w:r>
      <w:r w:rsidR="00BC6EA3" w:rsidRPr="001807FE">
        <w:rPr>
          <w:rStyle w:val="fontstyle01"/>
          <w:rFonts w:asciiTheme="majorBidi" w:hAnsiTheme="majorBidi" w:cstheme="majorBidi"/>
        </w:rPr>
        <w:t xml:space="preserve">First, because this was a retrospective, single-center study, systematic bias was unavoidable. Second, </w:t>
      </w:r>
      <w:r w:rsidR="005F7D63" w:rsidRPr="005F7D63">
        <w:rPr>
          <w:rStyle w:val="fontstyle01"/>
          <w:rFonts w:asciiTheme="majorBidi" w:hAnsiTheme="majorBidi" w:cstheme="majorBidi"/>
        </w:rPr>
        <w:t xml:space="preserve">this study did not </w:t>
      </w:r>
      <w:r w:rsidR="005F7D63">
        <w:rPr>
          <w:rStyle w:val="fontstyle01"/>
          <w:rFonts w:asciiTheme="majorBidi" w:hAnsiTheme="majorBidi" w:cstheme="majorBidi"/>
        </w:rPr>
        <w:t>examine</w:t>
      </w:r>
      <w:r w:rsidR="005F7D63" w:rsidRPr="005F7D63">
        <w:rPr>
          <w:rStyle w:val="fontstyle01"/>
          <w:rFonts w:asciiTheme="majorBidi" w:hAnsiTheme="majorBidi" w:cstheme="majorBidi"/>
        </w:rPr>
        <w:t xml:space="preserve"> additional inflammation-re</w:t>
      </w:r>
      <w:r w:rsidR="005F7D63">
        <w:rPr>
          <w:rStyle w:val="fontstyle01"/>
          <w:rFonts w:asciiTheme="majorBidi" w:hAnsiTheme="majorBidi" w:cstheme="majorBidi"/>
        </w:rPr>
        <w:t>lated biomarkers like CRP and IL-6</w:t>
      </w:r>
      <w:r w:rsidR="00BC6EA3" w:rsidRPr="001807FE">
        <w:rPr>
          <w:rStyle w:val="fontstyle01"/>
          <w:rFonts w:asciiTheme="majorBidi" w:hAnsiTheme="majorBidi" w:cstheme="majorBidi"/>
        </w:rPr>
        <w:t xml:space="preserve">. As a result, while multivariable logistic analysis was used to adjust the confounding parameters, undetected factors may also have an impact on our final results. </w:t>
      </w:r>
      <w:r w:rsidR="005F7D63" w:rsidRPr="005F7D63">
        <w:rPr>
          <w:rStyle w:val="fontstyle01"/>
          <w:rFonts w:asciiTheme="majorBidi" w:hAnsiTheme="majorBidi" w:cstheme="majorBidi"/>
        </w:rPr>
        <w:t>Third, due to the restrictions of retrospective data, we were unable to inves</w:t>
      </w:r>
      <w:r w:rsidR="005F7D63">
        <w:rPr>
          <w:rStyle w:val="fontstyle01"/>
          <w:rFonts w:asciiTheme="majorBidi" w:hAnsiTheme="majorBidi" w:cstheme="majorBidi"/>
        </w:rPr>
        <w:t>tigate the dynamic NLR</w:t>
      </w:r>
      <w:r w:rsidR="00BC6EA3" w:rsidRPr="001807FE">
        <w:rPr>
          <w:rStyle w:val="fontstyle01"/>
          <w:rFonts w:asciiTheme="majorBidi" w:hAnsiTheme="majorBidi" w:cstheme="majorBidi"/>
        </w:rPr>
        <w:t>, which may have resulted in inevitable bias.</w:t>
      </w:r>
      <w:r w:rsidR="00BC6EA3" w:rsidRPr="001807FE">
        <w:rPr>
          <w:rFonts w:asciiTheme="majorBidi" w:hAnsiTheme="majorBidi" w:cstheme="majorBidi"/>
          <w:sz w:val="24"/>
          <w:szCs w:val="24"/>
        </w:rPr>
        <w:t xml:space="preserve"> </w:t>
      </w:r>
      <w:r w:rsidR="00BC6EA3" w:rsidRPr="001807FE">
        <w:rPr>
          <w:rStyle w:val="fontstyle01"/>
          <w:rFonts w:asciiTheme="majorBidi" w:hAnsiTheme="majorBidi" w:cstheme="majorBidi"/>
        </w:rPr>
        <w:t xml:space="preserve">More </w:t>
      </w:r>
      <w:r w:rsidR="00BC6EA3" w:rsidRPr="001807FE">
        <w:rPr>
          <w:rStyle w:val="fontstyle01"/>
          <w:rFonts w:asciiTheme="majorBidi" w:hAnsiTheme="majorBidi" w:cstheme="majorBidi"/>
        </w:rPr>
        <w:lastRenderedPageBreak/>
        <w:t>stud</w:t>
      </w:r>
      <w:r w:rsidR="00BF1B4D">
        <w:rPr>
          <w:rStyle w:val="fontstyle01"/>
          <w:rFonts w:asciiTheme="majorBidi" w:hAnsiTheme="majorBidi" w:cstheme="majorBidi"/>
        </w:rPr>
        <w:t>ies</w:t>
      </w:r>
      <w:r w:rsidR="00BC6EA3" w:rsidRPr="001807FE">
        <w:rPr>
          <w:rStyle w:val="fontstyle01"/>
          <w:rFonts w:asciiTheme="majorBidi" w:hAnsiTheme="majorBidi" w:cstheme="majorBidi"/>
        </w:rPr>
        <w:t xml:space="preserve"> with bigger samples may be required to find meaningful </w:t>
      </w:r>
      <w:r w:rsidR="005F7D63" w:rsidRPr="005F7D63">
        <w:rPr>
          <w:rStyle w:val="fontstyle01"/>
          <w:rFonts w:asciiTheme="majorBidi" w:hAnsiTheme="majorBidi" w:cstheme="majorBidi"/>
        </w:rPr>
        <w:t>effects of dynamic changes in the NLR on the outcomes of hydrocephalus patients</w:t>
      </w:r>
      <w:r w:rsidR="00BC6EA3" w:rsidRPr="001807FE">
        <w:rPr>
          <w:rStyle w:val="fontstyle01"/>
          <w:rFonts w:asciiTheme="majorBidi" w:hAnsiTheme="majorBidi" w:cstheme="majorBidi"/>
        </w:rPr>
        <w:t xml:space="preserve">. Serial trends in NLR may also be a stronger predictor of outcome than a </w:t>
      </w:r>
      <w:r w:rsidR="00D86B73" w:rsidRPr="00D86B73">
        <w:rPr>
          <w:rStyle w:val="fontstyle01"/>
          <w:rFonts w:asciiTheme="majorBidi" w:hAnsiTheme="majorBidi" w:cstheme="majorBidi"/>
        </w:rPr>
        <w:t>single independent score on admission</w:t>
      </w:r>
      <w:r w:rsidR="00BC6EA3" w:rsidRPr="00D86B73">
        <w:rPr>
          <w:rStyle w:val="fontstyle01"/>
          <w:rFonts w:asciiTheme="majorBidi" w:hAnsiTheme="majorBidi" w:cstheme="majorBidi"/>
        </w:rPr>
        <w:t>.</w:t>
      </w:r>
      <w:r w:rsidR="00BC6EA3" w:rsidRPr="001807FE">
        <w:rPr>
          <w:rStyle w:val="fontstyle01"/>
          <w:rFonts w:asciiTheme="majorBidi" w:hAnsiTheme="majorBidi" w:cstheme="majorBidi"/>
        </w:rPr>
        <w:t xml:space="preserve"> Our </w:t>
      </w:r>
      <w:r w:rsidR="00D86B73">
        <w:rPr>
          <w:rStyle w:val="fontstyle01"/>
          <w:rFonts w:asciiTheme="majorBidi" w:hAnsiTheme="majorBidi" w:cstheme="majorBidi"/>
        </w:rPr>
        <w:t>research</w:t>
      </w:r>
      <w:r w:rsidR="00BC6EA3" w:rsidRPr="001807FE">
        <w:rPr>
          <w:rStyle w:val="fontstyle01"/>
          <w:rFonts w:asciiTheme="majorBidi" w:hAnsiTheme="majorBidi" w:cstheme="majorBidi"/>
        </w:rPr>
        <w:t xml:space="preserve"> </w:t>
      </w:r>
      <w:r w:rsidR="00D86B73">
        <w:rPr>
          <w:rStyle w:val="fontstyle01"/>
          <w:rFonts w:asciiTheme="majorBidi" w:hAnsiTheme="majorBidi" w:cstheme="majorBidi"/>
        </w:rPr>
        <w:t>reveal</w:t>
      </w:r>
      <w:r w:rsidR="00BC6EA3" w:rsidRPr="001807FE">
        <w:rPr>
          <w:rStyle w:val="fontstyle01"/>
          <w:rFonts w:asciiTheme="majorBidi" w:hAnsiTheme="majorBidi" w:cstheme="majorBidi"/>
        </w:rPr>
        <w:t>e</w:t>
      </w:r>
      <w:r w:rsidR="00D86B73">
        <w:rPr>
          <w:rStyle w:val="fontstyle01"/>
          <w:rFonts w:asciiTheme="majorBidi" w:hAnsiTheme="majorBidi" w:cstheme="majorBidi"/>
        </w:rPr>
        <w:t>d</w:t>
      </w:r>
      <w:r w:rsidR="00BC6EA3" w:rsidRPr="001807FE">
        <w:rPr>
          <w:rStyle w:val="fontstyle01"/>
          <w:rFonts w:asciiTheme="majorBidi" w:hAnsiTheme="majorBidi" w:cstheme="majorBidi"/>
        </w:rPr>
        <w:t xml:space="preserve"> useful information on the predictive efficacy of NLR as a low-cost approach, which may lead to additional research in this field.</w:t>
      </w:r>
    </w:p>
    <w:p w14:paraId="4D4CFEFD" w14:textId="77777777" w:rsidR="00DC32EA" w:rsidRDefault="00E70100" w:rsidP="007E5B1C">
      <w:pPr>
        <w:spacing w:line="360" w:lineRule="auto"/>
        <w:jc w:val="both"/>
        <w:rPr>
          <w:rStyle w:val="fontstyle11"/>
          <w:rFonts w:asciiTheme="majorBidi" w:hAnsiTheme="majorBidi" w:cstheme="majorBidi"/>
        </w:rPr>
      </w:pPr>
      <w:r w:rsidRPr="001807FE">
        <w:rPr>
          <w:rStyle w:val="fontstyle01"/>
          <w:rFonts w:asciiTheme="majorBidi" w:hAnsiTheme="majorBidi" w:cstheme="majorBidi"/>
          <w:b/>
          <w:bCs/>
        </w:rPr>
        <w:t>Conclusions</w:t>
      </w:r>
      <w:r w:rsidRPr="001807FE">
        <w:rPr>
          <w:rFonts w:asciiTheme="majorBidi" w:hAnsiTheme="majorBidi" w:cstheme="majorBidi"/>
          <w:b/>
          <w:bCs/>
          <w:color w:val="000000"/>
          <w:sz w:val="24"/>
          <w:szCs w:val="24"/>
        </w:rPr>
        <w:br/>
      </w:r>
      <w:r w:rsidR="001807FE" w:rsidRPr="001807FE">
        <w:rPr>
          <w:rStyle w:val="fontstyle11"/>
          <w:rFonts w:asciiTheme="majorBidi" w:hAnsiTheme="majorBidi" w:cstheme="majorBidi"/>
        </w:rPr>
        <w:t>Admission NLR is a simple, inexpensive, and accurate predictor of outcome</w:t>
      </w:r>
      <w:r w:rsidR="00BF1B4D">
        <w:rPr>
          <w:rStyle w:val="fontstyle11"/>
          <w:rFonts w:asciiTheme="majorBidi" w:hAnsiTheme="majorBidi" w:cstheme="majorBidi"/>
        </w:rPr>
        <w:t>s</w:t>
      </w:r>
      <w:r w:rsidR="001807FE" w:rsidRPr="001807FE">
        <w:rPr>
          <w:rStyle w:val="fontstyle11"/>
          <w:rFonts w:asciiTheme="majorBidi" w:hAnsiTheme="majorBidi" w:cstheme="majorBidi"/>
        </w:rPr>
        <w:t xml:space="preserve"> following EVD in hydrocephalus patients. A high NLR is related </w:t>
      </w:r>
      <w:r w:rsidR="00BF1B4D">
        <w:rPr>
          <w:rStyle w:val="fontstyle11"/>
          <w:rFonts w:asciiTheme="majorBidi" w:hAnsiTheme="majorBidi" w:cstheme="majorBidi"/>
        </w:rPr>
        <w:t>to</w:t>
      </w:r>
      <w:r w:rsidR="001807FE" w:rsidRPr="001807FE">
        <w:rPr>
          <w:rStyle w:val="fontstyle11"/>
          <w:rFonts w:asciiTheme="majorBidi" w:hAnsiTheme="majorBidi" w:cstheme="majorBidi"/>
        </w:rPr>
        <w:t xml:space="preserve"> an increased </w:t>
      </w:r>
      <w:r w:rsidR="00D86B73" w:rsidRPr="00D86B73">
        <w:rPr>
          <w:rStyle w:val="fontstyle11"/>
          <w:rFonts w:asciiTheme="majorBidi" w:hAnsiTheme="majorBidi" w:cstheme="majorBidi"/>
        </w:rPr>
        <w:t xml:space="preserve">the possibility </w:t>
      </w:r>
      <w:r w:rsidR="001807FE" w:rsidRPr="001807FE">
        <w:rPr>
          <w:rStyle w:val="fontstyle11"/>
          <w:rFonts w:asciiTheme="majorBidi" w:hAnsiTheme="majorBidi" w:cstheme="majorBidi"/>
        </w:rPr>
        <w:t xml:space="preserve">of death and an </w:t>
      </w:r>
      <w:r w:rsidR="003678D6" w:rsidRPr="001807FE">
        <w:rPr>
          <w:rStyle w:val="fontstyle11"/>
          <w:rFonts w:asciiTheme="majorBidi" w:hAnsiTheme="majorBidi" w:cstheme="majorBidi"/>
        </w:rPr>
        <w:t>unfavorable</w:t>
      </w:r>
      <w:r w:rsidR="001807FE" w:rsidRPr="001807FE">
        <w:rPr>
          <w:rStyle w:val="fontstyle11"/>
          <w:rFonts w:asciiTheme="majorBidi" w:hAnsiTheme="majorBidi" w:cstheme="majorBidi"/>
        </w:rPr>
        <w:t xml:space="preserve"> outcome. </w:t>
      </w:r>
      <w:r w:rsidR="00D86B73">
        <w:rPr>
          <w:rStyle w:val="fontstyle11"/>
          <w:rFonts w:asciiTheme="majorBidi" w:hAnsiTheme="majorBidi" w:cstheme="majorBidi"/>
        </w:rPr>
        <w:t>Admission NLR&gt;</w:t>
      </w:r>
      <w:r w:rsidR="003A6E4D">
        <w:rPr>
          <w:rStyle w:val="fontstyle11"/>
          <w:rFonts w:asciiTheme="majorBidi" w:hAnsiTheme="majorBidi" w:cstheme="majorBidi"/>
        </w:rPr>
        <w:t>8.88</w:t>
      </w:r>
      <w:r w:rsidR="00D86B73" w:rsidRPr="00D86B73">
        <w:rPr>
          <w:rStyle w:val="fontstyle11"/>
          <w:rFonts w:asciiTheme="majorBidi" w:hAnsiTheme="majorBidi" w:cstheme="majorBidi"/>
        </w:rPr>
        <w:t xml:space="preserve"> considerably enhances predicting results</w:t>
      </w:r>
      <w:r w:rsidR="00D86B73">
        <w:rPr>
          <w:rStyle w:val="fontstyle11"/>
          <w:rFonts w:asciiTheme="majorBidi" w:hAnsiTheme="majorBidi" w:cstheme="majorBidi"/>
        </w:rPr>
        <w:t xml:space="preserve"> </w:t>
      </w:r>
      <w:r w:rsidR="00D86B73" w:rsidRPr="001807FE">
        <w:rPr>
          <w:rStyle w:val="fontstyle11"/>
          <w:rFonts w:asciiTheme="majorBidi" w:hAnsiTheme="majorBidi" w:cstheme="majorBidi"/>
        </w:rPr>
        <w:t>after EVD</w:t>
      </w:r>
      <w:r w:rsidR="00D86B73">
        <w:rPr>
          <w:rStyle w:val="fontstyle11"/>
          <w:rFonts w:asciiTheme="majorBidi" w:hAnsiTheme="majorBidi" w:cstheme="majorBidi"/>
        </w:rPr>
        <w:t xml:space="preserve"> when combined with a GSC score&lt; 8</w:t>
      </w:r>
      <w:r w:rsidR="001807FE" w:rsidRPr="001807FE">
        <w:rPr>
          <w:rStyle w:val="fontstyle11"/>
          <w:rFonts w:asciiTheme="majorBidi" w:hAnsiTheme="majorBidi" w:cstheme="majorBidi"/>
        </w:rPr>
        <w:t xml:space="preserve">. </w:t>
      </w:r>
      <w:r w:rsidR="00D86B73" w:rsidRPr="00D86B73">
        <w:rPr>
          <w:rStyle w:val="fontstyle11"/>
          <w:rFonts w:asciiTheme="majorBidi" w:hAnsiTheme="majorBidi" w:cstheme="majorBidi"/>
        </w:rPr>
        <w:t xml:space="preserve">More investigation is required </w:t>
      </w:r>
      <w:r w:rsidR="00D86B73">
        <w:rPr>
          <w:rStyle w:val="fontstyle11"/>
          <w:rFonts w:asciiTheme="majorBidi" w:hAnsiTheme="majorBidi" w:cstheme="majorBidi"/>
        </w:rPr>
        <w:t xml:space="preserve">to </w:t>
      </w:r>
      <w:r w:rsidR="001807FE" w:rsidRPr="001807FE">
        <w:rPr>
          <w:rStyle w:val="fontstyle11"/>
          <w:rFonts w:asciiTheme="majorBidi" w:hAnsiTheme="majorBidi" w:cstheme="majorBidi"/>
        </w:rPr>
        <w:t xml:space="preserve">determine the precise processes </w:t>
      </w:r>
      <w:r w:rsidR="00D86B73">
        <w:rPr>
          <w:rStyle w:val="fontstyle11"/>
          <w:rFonts w:asciiTheme="majorBidi" w:hAnsiTheme="majorBidi" w:cstheme="majorBidi"/>
        </w:rPr>
        <w:t>by</w:t>
      </w:r>
      <w:r w:rsidR="001807FE" w:rsidRPr="001807FE">
        <w:rPr>
          <w:rStyle w:val="fontstyle11"/>
          <w:rFonts w:asciiTheme="majorBidi" w:hAnsiTheme="majorBidi" w:cstheme="majorBidi"/>
        </w:rPr>
        <w:t xml:space="preserve"> which </w:t>
      </w:r>
      <w:r w:rsidR="000106A9">
        <w:rPr>
          <w:rStyle w:val="fontstyle11"/>
          <w:rFonts w:asciiTheme="majorBidi" w:hAnsiTheme="majorBidi" w:cstheme="majorBidi"/>
        </w:rPr>
        <w:t>CSF</w:t>
      </w:r>
      <w:r w:rsidR="001807FE" w:rsidRPr="001807FE">
        <w:rPr>
          <w:rStyle w:val="fontstyle11"/>
          <w:rFonts w:asciiTheme="majorBidi" w:hAnsiTheme="majorBidi" w:cstheme="majorBidi"/>
        </w:rPr>
        <w:t xml:space="preserve"> indicators, in conjunction with NLR, </w:t>
      </w:r>
      <w:r w:rsidR="00D86B73">
        <w:rPr>
          <w:rStyle w:val="fontstyle11"/>
          <w:rFonts w:asciiTheme="majorBidi" w:hAnsiTheme="majorBidi" w:cstheme="majorBidi"/>
        </w:rPr>
        <w:t>affect</w:t>
      </w:r>
      <w:r w:rsidR="001807FE" w:rsidRPr="001807FE">
        <w:rPr>
          <w:rStyle w:val="fontstyle11"/>
          <w:rFonts w:asciiTheme="majorBidi" w:hAnsiTheme="majorBidi" w:cstheme="majorBidi"/>
        </w:rPr>
        <w:t xml:space="preserve"> the prognosis of hydrocephalus </w:t>
      </w:r>
      <w:r w:rsidR="00D86B73" w:rsidRPr="001807FE">
        <w:rPr>
          <w:rStyle w:val="fontstyle11"/>
          <w:rFonts w:asciiTheme="majorBidi" w:hAnsiTheme="majorBidi" w:cstheme="majorBidi"/>
        </w:rPr>
        <w:t xml:space="preserve">patients </w:t>
      </w:r>
      <w:r w:rsidR="001807FE" w:rsidRPr="001807FE">
        <w:rPr>
          <w:rStyle w:val="fontstyle11"/>
          <w:rFonts w:asciiTheme="majorBidi" w:hAnsiTheme="majorBidi" w:cstheme="majorBidi"/>
        </w:rPr>
        <w:t>following EVD.</w:t>
      </w:r>
    </w:p>
    <w:p w14:paraId="1DDEFEBD" w14:textId="77777777" w:rsidR="007E5B1C" w:rsidRPr="00BB369E" w:rsidRDefault="007E5B1C" w:rsidP="007E5B1C">
      <w:pPr>
        <w:spacing w:line="360" w:lineRule="auto"/>
        <w:rPr>
          <w:rFonts w:asciiTheme="majorBidi" w:hAnsiTheme="majorBidi" w:cs="Times New Roman"/>
          <w:b/>
          <w:bCs/>
          <w:color w:val="000000"/>
        </w:rPr>
      </w:pPr>
      <w:r w:rsidRPr="00BB369E">
        <w:rPr>
          <w:rFonts w:asciiTheme="majorBidi" w:hAnsiTheme="majorBidi" w:cs="Times New Roman"/>
          <w:b/>
          <w:bCs/>
          <w:color w:val="000000"/>
        </w:rPr>
        <w:t>Declarations</w:t>
      </w:r>
    </w:p>
    <w:p w14:paraId="0EDF4F70" w14:textId="77777777" w:rsidR="007E5B1C" w:rsidRDefault="007E5B1C" w:rsidP="007E5B1C">
      <w:pPr>
        <w:spacing w:line="360" w:lineRule="auto"/>
        <w:rPr>
          <w:rFonts w:asciiTheme="majorBidi" w:hAnsiTheme="majorBidi" w:cs="Times New Roman"/>
          <w:b/>
          <w:bCs/>
          <w:color w:val="000000"/>
        </w:rPr>
      </w:pPr>
      <w:r>
        <w:rPr>
          <w:rFonts w:asciiTheme="majorBidi" w:hAnsiTheme="majorBidi" w:cs="Times New Roman"/>
          <w:b/>
          <w:bCs/>
          <w:color w:val="000000"/>
        </w:rPr>
        <w:t xml:space="preserve">Funding </w:t>
      </w:r>
    </w:p>
    <w:p w14:paraId="27F726B3" w14:textId="77777777" w:rsidR="007E5B1C" w:rsidRDefault="007E5B1C" w:rsidP="007E5B1C">
      <w:pPr>
        <w:spacing w:line="360" w:lineRule="auto"/>
        <w:rPr>
          <w:rFonts w:asciiTheme="majorBidi" w:hAnsiTheme="majorBidi" w:cs="Times New Roman"/>
          <w:color w:val="000000"/>
        </w:rPr>
      </w:pPr>
      <w:r w:rsidRPr="00127CDC">
        <w:rPr>
          <w:rFonts w:asciiTheme="majorBidi" w:hAnsiTheme="majorBidi" w:cs="Times New Roman"/>
          <w:color w:val="000000"/>
        </w:rPr>
        <w:t>“This paper was not funded.”</w:t>
      </w:r>
    </w:p>
    <w:p w14:paraId="4F945E8B" w14:textId="77777777" w:rsidR="007E5B1C" w:rsidRPr="00E453D8" w:rsidRDefault="007E5B1C" w:rsidP="007E5B1C">
      <w:pPr>
        <w:spacing w:before="240"/>
        <w:ind w:left="-46" w:firstLine="46"/>
        <w:rPr>
          <w:rFonts w:ascii="Times New Roman" w:eastAsia="SimSun" w:hAnsi="Times New Roman" w:cs="Times New Roman"/>
          <w:b/>
          <w:bCs/>
          <w:sz w:val="24"/>
          <w:szCs w:val="24"/>
          <w:lang w:eastAsia="zh-CN"/>
        </w:rPr>
      </w:pPr>
      <w:r w:rsidRPr="00E453D8">
        <w:rPr>
          <w:rFonts w:ascii="Times New Roman" w:eastAsia="SimSun" w:hAnsi="Times New Roman" w:cs="Times New Roman"/>
          <w:b/>
          <w:bCs/>
          <w:sz w:val="24"/>
          <w:szCs w:val="24"/>
          <w:lang w:eastAsia="zh-CN"/>
        </w:rPr>
        <w:t>Competing interests</w:t>
      </w:r>
    </w:p>
    <w:p w14:paraId="09FBD936" w14:textId="77777777" w:rsidR="007E5B1C" w:rsidRPr="00E453D8" w:rsidRDefault="007E5B1C" w:rsidP="007E5B1C">
      <w:pPr>
        <w:spacing w:before="240"/>
        <w:ind w:left="-46" w:firstLine="46"/>
        <w:rPr>
          <w:rFonts w:ascii="Times New Roman" w:eastAsia="Times New Roman" w:hAnsi="Times New Roman" w:cs="Times New Roman"/>
          <w:sz w:val="24"/>
          <w:szCs w:val="24"/>
        </w:rPr>
      </w:pPr>
      <w:r w:rsidRPr="00E453D8">
        <w:rPr>
          <w:rFonts w:ascii="Times New Roman" w:eastAsia="Times New Roman" w:hAnsi="Times New Roman" w:cs="Times New Roman"/>
          <w:sz w:val="24"/>
          <w:szCs w:val="24"/>
        </w:rPr>
        <w:t>The authors declare no conflict of interest.</w:t>
      </w:r>
    </w:p>
    <w:p w14:paraId="1DC89083" w14:textId="77777777" w:rsidR="007E5B1C" w:rsidRDefault="007E5B1C" w:rsidP="009F7E06">
      <w:pPr>
        <w:spacing w:line="360" w:lineRule="auto"/>
        <w:jc w:val="both"/>
        <w:rPr>
          <w:rFonts w:asciiTheme="majorBidi" w:hAnsiTheme="majorBidi" w:cs="Times New Roman"/>
          <w:b/>
          <w:bCs/>
          <w:color w:val="000000"/>
        </w:rPr>
      </w:pPr>
    </w:p>
    <w:p w14:paraId="325CA54B" w14:textId="77777777" w:rsidR="00C40292" w:rsidRDefault="00C40292" w:rsidP="009F7E06">
      <w:pPr>
        <w:spacing w:line="360" w:lineRule="auto"/>
        <w:jc w:val="both"/>
        <w:rPr>
          <w:rStyle w:val="fontstyle11"/>
          <w:rFonts w:asciiTheme="majorBidi" w:hAnsiTheme="majorBidi" w:cstheme="majorBidi"/>
        </w:rPr>
      </w:pPr>
      <w:r>
        <w:rPr>
          <w:rStyle w:val="fontstyle11"/>
          <w:rFonts w:asciiTheme="majorBidi" w:hAnsiTheme="majorBidi" w:cstheme="majorBidi"/>
        </w:rPr>
        <w:t xml:space="preserve">References </w:t>
      </w:r>
    </w:p>
    <w:p w14:paraId="273DEE76" w14:textId="77777777" w:rsidR="009C0CB3" w:rsidRPr="009C0CB3" w:rsidRDefault="00DC32EA" w:rsidP="009C0CB3">
      <w:pPr>
        <w:pStyle w:val="EndNoteBibliography"/>
        <w:spacing w:after="0"/>
      </w:pPr>
      <w:r>
        <w:rPr>
          <w:rFonts w:asciiTheme="majorBidi" w:hAnsiTheme="majorBidi" w:cstheme="majorBidi"/>
          <w:szCs w:val="24"/>
          <w:lang w:bidi="fa-IR"/>
        </w:rPr>
        <w:fldChar w:fldCharType="begin"/>
      </w:r>
      <w:r>
        <w:rPr>
          <w:rFonts w:asciiTheme="majorBidi" w:hAnsiTheme="majorBidi" w:cstheme="majorBidi"/>
          <w:szCs w:val="24"/>
          <w:lang w:bidi="fa-IR"/>
        </w:rPr>
        <w:instrText xml:space="preserve"> ADDIN EN.REFLIST </w:instrText>
      </w:r>
      <w:r>
        <w:rPr>
          <w:rFonts w:asciiTheme="majorBidi" w:hAnsiTheme="majorBidi" w:cstheme="majorBidi"/>
          <w:szCs w:val="24"/>
          <w:lang w:bidi="fa-IR"/>
        </w:rPr>
        <w:fldChar w:fldCharType="separate"/>
      </w:r>
      <w:r w:rsidR="009C0CB3" w:rsidRPr="009C0CB3">
        <w:t>1.</w:t>
      </w:r>
      <w:r w:rsidR="009C0CB3" w:rsidRPr="009C0CB3">
        <w:tab/>
        <w:t>Duy PQ, Rakic P, Alper SL, Robert SM, Kundishora AJ, Butler WE, et al. A neural stem cell paradigm of pediatric hydrocephalus. Cerebral Cortex. 2023;33(8):4262-79.</w:t>
      </w:r>
    </w:p>
    <w:p w14:paraId="0DF1F1E6" w14:textId="77777777" w:rsidR="009C0CB3" w:rsidRPr="009C0CB3" w:rsidRDefault="009C0CB3" w:rsidP="009C0CB3">
      <w:pPr>
        <w:pStyle w:val="EndNoteBibliography"/>
        <w:spacing w:after="0"/>
      </w:pPr>
      <w:r w:rsidRPr="009C0CB3">
        <w:t>2.</w:t>
      </w:r>
      <w:r w:rsidRPr="009C0CB3">
        <w:tab/>
        <w:t>Juhler M. Hydrocephalus: Springer; 2020.</w:t>
      </w:r>
    </w:p>
    <w:p w14:paraId="15D9AD8B" w14:textId="77777777" w:rsidR="009C0CB3" w:rsidRPr="009C0CB3" w:rsidRDefault="009C0CB3" w:rsidP="009C0CB3">
      <w:pPr>
        <w:pStyle w:val="EndNoteBibliography"/>
        <w:spacing w:after="0"/>
      </w:pPr>
      <w:r w:rsidRPr="009C0CB3">
        <w:t>3.</w:t>
      </w:r>
      <w:r w:rsidRPr="009C0CB3">
        <w:tab/>
        <w:t>Capion T, Lilja</w:t>
      </w:r>
      <w:r w:rsidRPr="009C0CB3">
        <w:rPr>
          <w:rFonts w:ascii="Cambria Math" w:hAnsi="Cambria Math" w:cs="Cambria Math"/>
        </w:rPr>
        <w:t>‐</w:t>
      </w:r>
      <w:r w:rsidRPr="009C0CB3">
        <w:t>Cyron A, Olsen MH, Juhler M, Møller K, Sorteberg A, et al. Prompt closure versus gradual weaning of external ventricular drainage for hydrocephalus following aneurysmal subarachnoid haemorrhage: Protocol for the DRAIN randomised clinical trial. Acta Anaesthesiologica Scandinavica. 2023.</w:t>
      </w:r>
    </w:p>
    <w:p w14:paraId="5AE36EAF" w14:textId="77777777" w:rsidR="009C0CB3" w:rsidRPr="009C0CB3" w:rsidRDefault="009C0CB3" w:rsidP="009C0CB3">
      <w:pPr>
        <w:pStyle w:val="EndNoteBibliography"/>
        <w:spacing w:after="0"/>
      </w:pPr>
      <w:r w:rsidRPr="009C0CB3">
        <w:t>4.</w:t>
      </w:r>
      <w:r w:rsidRPr="009C0CB3">
        <w:tab/>
        <w:t>Gaderer C, Schaumann A, Schulz M, Thomale U. Neuroendoscopic lavage for the treatment of CSF infection with hydrocephalus in children. Child's Nervous System. 2018;34:1893-903.</w:t>
      </w:r>
    </w:p>
    <w:p w14:paraId="621A0A76" w14:textId="77777777" w:rsidR="009C0CB3" w:rsidRPr="009C0CB3" w:rsidRDefault="009C0CB3" w:rsidP="009C0CB3">
      <w:pPr>
        <w:pStyle w:val="EndNoteBibliography"/>
        <w:spacing w:after="0"/>
      </w:pPr>
      <w:r w:rsidRPr="009C0CB3">
        <w:t>5.</w:t>
      </w:r>
      <w:r w:rsidRPr="009C0CB3">
        <w:tab/>
        <w:t>Robert SM, Reeves BC, Kiziltug E, Duy PQ, Karimy JK, Mansuri MS, et al. The choroid plexus links innate immunity to CSF dysregulation in hydrocephalus. Cell. 2023;186(4):764-85. e21.</w:t>
      </w:r>
    </w:p>
    <w:p w14:paraId="1C10375F" w14:textId="77777777" w:rsidR="009C0CB3" w:rsidRPr="009C0CB3" w:rsidRDefault="009C0CB3" w:rsidP="009C0CB3">
      <w:pPr>
        <w:pStyle w:val="EndNoteBibliography"/>
        <w:spacing w:after="0"/>
      </w:pPr>
      <w:r w:rsidRPr="009C0CB3">
        <w:lastRenderedPageBreak/>
        <w:t>6.</w:t>
      </w:r>
      <w:r w:rsidRPr="009C0CB3">
        <w:tab/>
        <w:t>Risbrough VB, Vaughn MN, Friend SF. Role of inflammation in traumatic brain injury–associated risk for neuropsychiatric disorders: state of the evidence and where do we go from here. Biological psychiatry. 2022;91(5):438-48.</w:t>
      </w:r>
    </w:p>
    <w:p w14:paraId="3528FD92" w14:textId="77777777" w:rsidR="009C0CB3" w:rsidRPr="009C0CB3" w:rsidRDefault="009C0CB3" w:rsidP="009C0CB3">
      <w:pPr>
        <w:pStyle w:val="EndNoteBibliography"/>
        <w:spacing w:after="0"/>
      </w:pPr>
      <w:r w:rsidRPr="009C0CB3">
        <w:t>7.</w:t>
      </w:r>
      <w:r w:rsidRPr="009C0CB3">
        <w:tab/>
        <w:t>Cuoco JA, Guilliams EL, Klein BJ, Witcher MR, Marvin EA, Patel BM, et al. Monocyte count on admission is predictive of shunt-dependent hydrocephalus after aneurysmal subarachnoid hemorrhage. Frontiers in Surgery. 2022;9.</w:t>
      </w:r>
    </w:p>
    <w:p w14:paraId="00949D83" w14:textId="77777777" w:rsidR="009C0CB3" w:rsidRPr="009C0CB3" w:rsidRDefault="009C0CB3" w:rsidP="009C0CB3">
      <w:pPr>
        <w:pStyle w:val="EndNoteBibliography"/>
        <w:spacing w:after="0"/>
      </w:pPr>
      <w:r w:rsidRPr="009C0CB3">
        <w:t>8.</w:t>
      </w:r>
      <w:r w:rsidRPr="009C0CB3">
        <w:tab/>
        <w:t>Cuoco JA, Guilliams EL, Klein BJ, Benko MJ, Darden JA, Olasunkanmi AL, et al. Neutrophil count on admission predicts acute symptomatic hydrocephalus after aneurysmal subarachnoid hemorrhage. World neurosurgery. 2021;156:e338-e44.</w:t>
      </w:r>
    </w:p>
    <w:p w14:paraId="606B6B67" w14:textId="77777777" w:rsidR="009C0CB3" w:rsidRPr="009C0CB3" w:rsidRDefault="009C0CB3" w:rsidP="009C0CB3">
      <w:pPr>
        <w:pStyle w:val="EndNoteBibliography"/>
        <w:spacing w:after="0"/>
      </w:pPr>
      <w:r w:rsidRPr="009C0CB3">
        <w:t>9.</w:t>
      </w:r>
      <w:r w:rsidRPr="009C0CB3">
        <w:tab/>
        <w:t>Zhao H, Li Y, Zhang Y, He W-Y, Jin W-N. Role of immune and inflammatory mechanisms in stroke: a review of current advances. Neuroimmunomodulation. 2022:1-14.</w:t>
      </w:r>
    </w:p>
    <w:p w14:paraId="14042CD5" w14:textId="77777777" w:rsidR="009C0CB3" w:rsidRPr="009C0CB3" w:rsidRDefault="009C0CB3" w:rsidP="009C0CB3">
      <w:pPr>
        <w:pStyle w:val="EndNoteBibliography"/>
        <w:spacing w:after="0"/>
      </w:pPr>
      <w:r w:rsidRPr="009C0CB3">
        <w:t>10.</w:t>
      </w:r>
      <w:r w:rsidRPr="009C0CB3">
        <w:tab/>
        <w:t>Liu L, Zhang R, Tang Y, Lu H. The use of ventriculoperitoneal shunts for uncontrollable intracranial hypertension in patients with HIV-associated cryptococcal meningitis with or without hydrocephalus. Bioscience trends. 2014;8(6):327-32.</w:t>
      </w:r>
    </w:p>
    <w:p w14:paraId="7F38A138" w14:textId="77777777" w:rsidR="009C0CB3" w:rsidRPr="009C0CB3" w:rsidRDefault="009C0CB3" w:rsidP="009C0CB3">
      <w:pPr>
        <w:pStyle w:val="EndNoteBibliography"/>
        <w:spacing w:after="0"/>
      </w:pPr>
      <w:r w:rsidRPr="009C0CB3">
        <w:t>11.</w:t>
      </w:r>
      <w:r w:rsidRPr="009C0CB3">
        <w:tab/>
        <w:t>Piri Cinar B, Kunt R, Yuksel B, Gulluoglu H, Sayilir I, Celiker Uslu S, et al. Assessment of the relation between the neutrophil to lymphocyte ratio and severity of ischemic stroke in a large cohort. International Journal of Clinical Practice. 2021;75(4):e13955.</w:t>
      </w:r>
    </w:p>
    <w:p w14:paraId="3A8DEA3D" w14:textId="77777777" w:rsidR="009C0CB3" w:rsidRPr="009C0CB3" w:rsidRDefault="009C0CB3" w:rsidP="009C0CB3">
      <w:pPr>
        <w:pStyle w:val="EndNoteBibliography"/>
        <w:spacing w:after="0"/>
      </w:pPr>
      <w:r w:rsidRPr="009C0CB3">
        <w:t>12.</w:t>
      </w:r>
      <w:r w:rsidRPr="009C0CB3">
        <w:tab/>
        <w:t>Han K, Shi D, Yang L, Wang Z, Li Y, Gao F, et al. Prognostic value of systemic inflammatory response index in patients with acute coronary syndrome undergoing percutaneous coronary intervention. Annals of Medicine. 2022;54(1):1667-77.</w:t>
      </w:r>
    </w:p>
    <w:p w14:paraId="715FFA9A" w14:textId="77777777" w:rsidR="009C0CB3" w:rsidRPr="009C0CB3" w:rsidRDefault="009C0CB3" w:rsidP="009C0CB3">
      <w:pPr>
        <w:pStyle w:val="EndNoteBibliography"/>
        <w:spacing w:after="0"/>
      </w:pPr>
      <w:r w:rsidRPr="009C0CB3">
        <w:t>13.</w:t>
      </w:r>
      <w:r w:rsidRPr="009C0CB3">
        <w:tab/>
        <w:t>Hu X, Liang J, Hao W, Zhou J, Gao Y, Gong X, et al. Prognostic value of inflammatory markers for in-hospital mortality in intensive care patients with acute ischemic stroke: a retrospective observational study based on MIMIC-IV. Frontiers in Neurology. 2023;14:1174711.</w:t>
      </w:r>
    </w:p>
    <w:p w14:paraId="0A1DDAFD" w14:textId="77777777" w:rsidR="009C0CB3" w:rsidRPr="009C0CB3" w:rsidRDefault="009C0CB3" w:rsidP="009C0CB3">
      <w:pPr>
        <w:pStyle w:val="EndNoteBibliography"/>
        <w:spacing w:after="0"/>
      </w:pPr>
      <w:r w:rsidRPr="009C0CB3">
        <w:t>14.</w:t>
      </w:r>
      <w:r w:rsidRPr="009C0CB3">
        <w:tab/>
        <w:t>Tao C, Hu X, Wang J, Ma J, Li H, You C. Admission neutrophil count and neutrophil to lymphocyte ratio predict 90-day outcome in intracerebral hemorrhage. Biomarkers in medicine. 2017;11(1):33-42.</w:t>
      </w:r>
    </w:p>
    <w:p w14:paraId="3666C4E6" w14:textId="77777777" w:rsidR="009C0CB3" w:rsidRPr="009C0CB3" w:rsidRDefault="009C0CB3" w:rsidP="009C0CB3">
      <w:pPr>
        <w:pStyle w:val="EndNoteBibliography"/>
        <w:spacing w:after="0"/>
      </w:pPr>
      <w:r w:rsidRPr="009C0CB3">
        <w:t>15.</w:t>
      </w:r>
      <w:r w:rsidRPr="009C0CB3">
        <w:tab/>
        <w:t>Li T, Dong G, Zhang M, Xu Z, Hu Y, Xie B, et al. Association of neutrophil–lymphocyte ratio and the presence of neonatal sepsis. Journal of Immunology Research. 2020;2020.</w:t>
      </w:r>
    </w:p>
    <w:p w14:paraId="1F9C6CBF" w14:textId="77777777" w:rsidR="009C0CB3" w:rsidRPr="009C0CB3" w:rsidRDefault="009C0CB3" w:rsidP="009C0CB3">
      <w:pPr>
        <w:pStyle w:val="EndNoteBibliography"/>
        <w:spacing w:after="0"/>
      </w:pPr>
      <w:r w:rsidRPr="009C0CB3">
        <w:t>16.</w:t>
      </w:r>
      <w:r w:rsidRPr="009C0CB3">
        <w:tab/>
        <w:t>Van Berckelaer C, Van Geyt M, Linders S, Rypens C, Trinh X, Tjalma W, et al. A high neutrophil-lymphocyte ratio and platelet-lymphocyte ratio are associated with a worse outcome in inflammatory breast cancer. The Breast. 2020;53:212-20.</w:t>
      </w:r>
    </w:p>
    <w:p w14:paraId="4F048FE9" w14:textId="77777777" w:rsidR="009C0CB3" w:rsidRPr="009C0CB3" w:rsidRDefault="009C0CB3" w:rsidP="009C0CB3">
      <w:pPr>
        <w:pStyle w:val="EndNoteBibliography"/>
        <w:spacing w:after="0"/>
      </w:pPr>
      <w:r w:rsidRPr="009C0CB3">
        <w:t>17.</w:t>
      </w:r>
      <w:r w:rsidRPr="009C0CB3">
        <w:tab/>
        <w:t>Yu S, Arima H, Bertmar C, Clarke S, Herkes G, Krause M. Neutrophil to lymphocyte ratio and early clinical outcomes in patients with acute ischemic stroke. Journal of the neurological sciences. 2018;387:115-8.</w:t>
      </w:r>
    </w:p>
    <w:p w14:paraId="7D11C425" w14:textId="77777777" w:rsidR="009C0CB3" w:rsidRPr="009C0CB3" w:rsidRDefault="009C0CB3" w:rsidP="009C0CB3">
      <w:pPr>
        <w:pStyle w:val="EndNoteBibliography"/>
        <w:spacing w:after="0"/>
      </w:pPr>
      <w:r w:rsidRPr="009C0CB3">
        <w:t>18.</w:t>
      </w:r>
      <w:r w:rsidRPr="009C0CB3">
        <w:tab/>
        <w:t>Dehghanei M, ArefNezhad R, Motedayyen H. The Predicting Role of Neutrophil–Lymphocyte Ratio in Patients with Acute Ischemic and Hemorrhagic Stroke. Journal of Stroke and Cerebrovascular Diseases. 2020;29(11):105233.</w:t>
      </w:r>
    </w:p>
    <w:p w14:paraId="2D9EABDD" w14:textId="77777777" w:rsidR="009C0CB3" w:rsidRPr="009C0CB3" w:rsidRDefault="009C0CB3" w:rsidP="009C0CB3">
      <w:pPr>
        <w:pStyle w:val="EndNoteBibliography"/>
        <w:spacing w:after="0"/>
      </w:pPr>
      <w:r w:rsidRPr="009C0CB3">
        <w:t>19.</w:t>
      </w:r>
      <w:r w:rsidRPr="009C0CB3">
        <w:tab/>
        <w:t>Goldstein R, Cotten C, Shankaran S, Gantz M, Poole W. Influence of gestational age on death and neurodevelopmental outcome in premature infants with severe intracranial hemorrhage. Journal of Perinatology. 2013;33(1):25-32.</w:t>
      </w:r>
    </w:p>
    <w:p w14:paraId="3B3410D5" w14:textId="77777777" w:rsidR="009C0CB3" w:rsidRPr="009C0CB3" w:rsidRDefault="009C0CB3" w:rsidP="009C0CB3">
      <w:pPr>
        <w:pStyle w:val="EndNoteBibliography"/>
        <w:spacing w:after="0"/>
      </w:pPr>
      <w:r w:rsidRPr="009C0CB3">
        <w:t>20.</w:t>
      </w:r>
      <w:r w:rsidRPr="009C0CB3">
        <w:tab/>
        <w:t>Simon T, Mary-Krause M, Cambou J-P, Hanania G, Guéret P, Lablanche J-M, et al. Impact of age and gender on in-hospital and late mortality after acute myocardial infarction: increased early risk in younger women: results from the French nation-wide USIC registries. European heart journal. 2006;27(11):1282-8.</w:t>
      </w:r>
    </w:p>
    <w:p w14:paraId="57768329" w14:textId="77777777" w:rsidR="009C0CB3" w:rsidRPr="009C0CB3" w:rsidRDefault="009C0CB3" w:rsidP="009C0CB3">
      <w:pPr>
        <w:pStyle w:val="EndNoteBibliography"/>
        <w:spacing w:after="0"/>
      </w:pPr>
      <w:r w:rsidRPr="009C0CB3">
        <w:t>21.</w:t>
      </w:r>
      <w:r w:rsidRPr="009C0CB3">
        <w:tab/>
        <w:t>Teasdale G, Jennett B. Assessment of coma and impaired consciousness: a practical scale. The Lancet. 1974;304(7872):81-4.</w:t>
      </w:r>
    </w:p>
    <w:p w14:paraId="7892962E" w14:textId="77777777" w:rsidR="009C0CB3" w:rsidRPr="009C0CB3" w:rsidRDefault="009C0CB3" w:rsidP="009C0CB3">
      <w:pPr>
        <w:pStyle w:val="EndNoteBibliography"/>
        <w:spacing w:after="0"/>
      </w:pPr>
      <w:r w:rsidRPr="009C0CB3">
        <w:lastRenderedPageBreak/>
        <w:t>22.</w:t>
      </w:r>
      <w:r w:rsidRPr="009C0CB3">
        <w:tab/>
        <w:t>Huang BR, Liao CC, Huang WH, Hsu YH, Hsu JC, Yen HC, et al. Prognostic factors of spontaneous intracerebral haemorrhage in haemodialysis patients and predictors of 30</w:t>
      </w:r>
      <w:r w:rsidRPr="009C0CB3">
        <w:rPr>
          <w:rFonts w:ascii="Cambria Math" w:hAnsi="Cambria Math" w:cs="Cambria Math"/>
        </w:rPr>
        <w:t>‐</w:t>
      </w:r>
      <w:r w:rsidRPr="009C0CB3">
        <w:t>day mortality. Internal Medicine Journal. 2008;38(7):568-74.</w:t>
      </w:r>
    </w:p>
    <w:p w14:paraId="2A985E32" w14:textId="77777777" w:rsidR="009C0CB3" w:rsidRPr="009C0CB3" w:rsidRDefault="009C0CB3" w:rsidP="009C0CB3">
      <w:pPr>
        <w:pStyle w:val="EndNoteBibliography"/>
        <w:spacing w:after="0"/>
      </w:pPr>
      <w:r w:rsidRPr="009C0CB3">
        <w:t>23.</w:t>
      </w:r>
      <w:r w:rsidRPr="009C0CB3">
        <w:tab/>
        <w:t>Oishi T, Takehara S, Yamamura Y, Tomida M, Ikegaya N, Seki G, et al. Hemodialysis increases the incidence of post-traumatic seizure in hemodialysis patients with traumatic intracranial hemorrhage. No Shinkei geka Neurological Surgery. 2017;45(4):303-9.</w:t>
      </w:r>
    </w:p>
    <w:p w14:paraId="326264D4" w14:textId="77777777" w:rsidR="009C0CB3" w:rsidRPr="009C0CB3" w:rsidRDefault="009C0CB3" w:rsidP="009C0CB3">
      <w:pPr>
        <w:pStyle w:val="EndNoteBibliography"/>
        <w:spacing w:after="0"/>
      </w:pPr>
      <w:r w:rsidRPr="009C0CB3">
        <w:t>24.</w:t>
      </w:r>
      <w:r w:rsidRPr="009C0CB3">
        <w:tab/>
        <w:t>Meredith W, Rutledge R, Fakhry SM, Emery S, Kromhout-Schiro S. The conundrum of the Glasgow Coma Scale in intubated patients: a linear regression prediction of the Glasgow verbal score from the Glasgow eye and motor scores. Journal of Trauma and Acute Care Surgery. 1998;44(5):839-45.</w:t>
      </w:r>
    </w:p>
    <w:p w14:paraId="03C2E97E" w14:textId="77777777" w:rsidR="009C0CB3" w:rsidRPr="009C0CB3" w:rsidRDefault="009C0CB3" w:rsidP="009C0CB3">
      <w:pPr>
        <w:pStyle w:val="EndNoteBibliography"/>
        <w:spacing w:after="0"/>
      </w:pPr>
      <w:r w:rsidRPr="009C0CB3">
        <w:t>25.</w:t>
      </w:r>
      <w:r w:rsidRPr="009C0CB3">
        <w:tab/>
        <w:t>Song M, Graubard BI, Rabkin CS, Engels EA. Neutrophil-to-lymphocyte ratio and mortality in the United States general population. Scientific Reports. 2021;11(1):464.</w:t>
      </w:r>
    </w:p>
    <w:p w14:paraId="67843D65" w14:textId="77777777" w:rsidR="009C0CB3" w:rsidRPr="009C0CB3" w:rsidRDefault="009C0CB3" w:rsidP="009C0CB3">
      <w:pPr>
        <w:pStyle w:val="EndNoteBibliography"/>
        <w:spacing w:after="0"/>
      </w:pPr>
      <w:r w:rsidRPr="009C0CB3">
        <w:t>26.</w:t>
      </w:r>
      <w:r w:rsidRPr="009C0CB3">
        <w:tab/>
        <w:t>Aronowski J, Zhao X. Molecular pathophysiology of cerebral hemorrhage: secondary brain injury. Stroke. 2011;42(6):1781-6.</w:t>
      </w:r>
    </w:p>
    <w:p w14:paraId="5734357D" w14:textId="77777777" w:rsidR="009C0CB3" w:rsidRPr="009C0CB3" w:rsidRDefault="009C0CB3" w:rsidP="009C0CB3">
      <w:pPr>
        <w:pStyle w:val="EndNoteBibliography"/>
        <w:spacing w:after="0"/>
      </w:pPr>
      <w:r w:rsidRPr="009C0CB3">
        <w:t>27.</w:t>
      </w:r>
      <w:r w:rsidRPr="009C0CB3">
        <w:tab/>
        <w:t>Anrather J, Iadecola C. Inflammation and stroke: an overview. Neurotherapeutics. 2016;13:661-70.</w:t>
      </w:r>
    </w:p>
    <w:p w14:paraId="08F4E889" w14:textId="77777777" w:rsidR="009C0CB3" w:rsidRPr="009C0CB3" w:rsidRDefault="009C0CB3" w:rsidP="009C0CB3">
      <w:pPr>
        <w:pStyle w:val="EndNoteBibliography"/>
        <w:spacing w:after="0"/>
      </w:pPr>
      <w:r w:rsidRPr="009C0CB3">
        <w:t>28.</w:t>
      </w:r>
      <w:r w:rsidRPr="009C0CB3">
        <w:tab/>
        <w:t>Merali Z, Huang K, Mikulis D, Silver F, Kassner A. Evolution of blood-brain-barrier permeability after acute ischemic stroke. PloS one. 2017;12(2):e0171558.</w:t>
      </w:r>
    </w:p>
    <w:p w14:paraId="3689875E" w14:textId="77777777" w:rsidR="009C0CB3" w:rsidRPr="009C0CB3" w:rsidRDefault="009C0CB3" w:rsidP="009C0CB3">
      <w:pPr>
        <w:pStyle w:val="EndNoteBibliography"/>
        <w:spacing w:after="0"/>
      </w:pPr>
      <w:r w:rsidRPr="009C0CB3">
        <w:t>29.</w:t>
      </w:r>
      <w:r w:rsidRPr="009C0CB3">
        <w:tab/>
        <w:t>Gusdon AM, Thompson CB, Quirk K, Mayasi YM, Avadhani R, Awad IA, et al. CSF and serum inflammatory response and association with outcomes in spontaneous intracerebral hemorrhage with intraventricular extension: an analysis of the CLEAR-III Trial. Journal of Neuroinflammation. 2021;18(1):1-11.</w:t>
      </w:r>
    </w:p>
    <w:p w14:paraId="551AF272" w14:textId="77777777" w:rsidR="009C0CB3" w:rsidRPr="009C0CB3" w:rsidRDefault="009C0CB3" w:rsidP="009C0CB3">
      <w:pPr>
        <w:pStyle w:val="EndNoteBibliography"/>
        <w:spacing w:after="0"/>
      </w:pPr>
      <w:r w:rsidRPr="009C0CB3">
        <w:t>30.</w:t>
      </w:r>
      <w:r w:rsidRPr="009C0CB3">
        <w:tab/>
        <w:t>Kaleem S, Zhang C, Gusdon AM, Oh S, Merkler AE, Avadhani R, et al. Association Between Neutrophil–Lymphocyte Ratio and 30-Day Infection and Thrombotic Outcomes After Intraventricular Hemorrhage: A CLEAR III Analysis. Neurocritical Care. 2023:1-9.</w:t>
      </w:r>
    </w:p>
    <w:p w14:paraId="05D3DC54" w14:textId="77777777" w:rsidR="009C0CB3" w:rsidRPr="009C0CB3" w:rsidRDefault="009C0CB3" w:rsidP="009C0CB3">
      <w:pPr>
        <w:pStyle w:val="EndNoteBibliography"/>
        <w:spacing w:after="0"/>
      </w:pPr>
      <w:r w:rsidRPr="009C0CB3">
        <w:t>31.</w:t>
      </w:r>
      <w:r w:rsidRPr="009C0CB3">
        <w:tab/>
        <w:t>Hirsch Y, Geraghty JR, Katz EA, Testai FD. Inflammasome caspase-1 activity is elevated in cerebrospinal fluid after aneurysmal subarachnoid hemorrhage and predicts functional outcome. Neurocritical care. 2021;34:889-98.</w:t>
      </w:r>
    </w:p>
    <w:p w14:paraId="2BB83EFC" w14:textId="77777777" w:rsidR="009C0CB3" w:rsidRPr="009C0CB3" w:rsidRDefault="009C0CB3" w:rsidP="009C0CB3">
      <w:pPr>
        <w:pStyle w:val="EndNoteBibliography"/>
        <w:spacing w:after="0"/>
      </w:pPr>
      <w:r w:rsidRPr="009C0CB3">
        <w:t>32.</w:t>
      </w:r>
      <w:r w:rsidRPr="009C0CB3">
        <w:tab/>
        <w:t>Zhang F, Tao C, Hu X, Qian J, Li X, You C, et al. Association of neutrophil to lymphocyte ratio on 90-day functional outcome in patients with intracerebral hemorrhage undergoing surgical treatment. World neurosurgery. 2018;119:e956-e61.</w:t>
      </w:r>
    </w:p>
    <w:p w14:paraId="5655136D" w14:textId="77777777" w:rsidR="009C0CB3" w:rsidRPr="009C0CB3" w:rsidRDefault="009C0CB3" w:rsidP="009C0CB3">
      <w:pPr>
        <w:pStyle w:val="EndNoteBibliography"/>
        <w:spacing w:after="0"/>
      </w:pPr>
      <w:r w:rsidRPr="009C0CB3">
        <w:t>33.</w:t>
      </w:r>
      <w:r w:rsidRPr="009C0CB3">
        <w:tab/>
        <w:t>Zhang B, Lin L, Yuan F, Song G, Chang Q, Wu Z, et al. Clinical application values of neutrophil-to-lymphocyte ratio in intracranial aneurysms. Aging (Albany NY). 2021;13(4):5250.</w:t>
      </w:r>
    </w:p>
    <w:p w14:paraId="18D71A30" w14:textId="77777777" w:rsidR="009C0CB3" w:rsidRPr="009C0CB3" w:rsidRDefault="009C0CB3" w:rsidP="009C0CB3">
      <w:pPr>
        <w:pStyle w:val="EndNoteBibliography"/>
        <w:spacing w:after="0"/>
      </w:pPr>
      <w:r w:rsidRPr="009C0CB3">
        <w:t>34.</w:t>
      </w:r>
      <w:r w:rsidRPr="009C0CB3">
        <w:tab/>
        <w:t>Tao C, Wang J, Hu X, Ma J, Li H, You C. Clinical value of neutrophil to lymphocyte and platelet to lymphocyte ratio after aneurysmal subarachnoid hemorrhage. Neurocritical care. 2017;26:393-401.</w:t>
      </w:r>
    </w:p>
    <w:p w14:paraId="0F1451E5" w14:textId="77777777" w:rsidR="009C0CB3" w:rsidRPr="009C0CB3" w:rsidRDefault="009C0CB3" w:rsidP="009C0CB3">
      <w:pPr>
        <w:pStyle w:val="EndNoteBibliography"/>
        <w:spacing w:after="0"/>
      </w:pPr>
      <w:r w:rsidRPr="009C0CB3">
        <w:t>35.</w:t>
      </w:r>
      <w:r w:rsidRPr="009C0CB3">
        <w:tab/>
        <w:t>Menon G, Johnson SE, Hegde A, Rathod S, Nayak R, Nair R. Neutrophil to lymphocyte ratio–A novel prognostic marker following spontaneous intracerebral haemorrhage. Clinical Neurology and Neurosurgery. 2021;200:106339.</w:t>
      </w:r>
    </w:p>
    <w:p w14:paraId="19968959" w14:textId="77777777" w:rsidR="009C0CB3" w:rsidRPr="009C0CB3" w:rsidRDefault="009C0CB3" w:rsidP="009C0CB3">
      <w:pPr>
        <w:pStyle w:val="EndNoteBibliography"/>
        <w:spacing w:after="0"/>
      </w:pPr>
      <w:r w:rsidRPr="009C0CB3">
        <w:t>36.</w:t>
      </w:r>
      <w:r w:rsidRPr="009C0CB3">
        <w:tab/>
        <w:t>Wang F, Hu S, Ding Y, Ju X, Wang L, Lu Q, et al. Neutrophil-to-lymphocyte ratio and 30-day mortality in patients with acute intracerebral hemorrhage. Journal of Stroke and Cerebrovascular Diseases. 2016;25(1):182-7.</w:t>
      </w:r>
    </w:p>
    <w:p w14:paraId="3F1FD5ED" w14:textId="77777777" w:rsidR="009C0CB3" w:rsidRPr="009C0CB3" w:rsidRDefault="009C0CB3" w:rsidP="009C0CB3">
      <w:pPr>
        <w:pStyle w:val="EndNoteBibliography"/>
        <w:spacing w:after="0"/>
      </w:pPr>
      <w:r w:rsidRPr="009C0CB3">
        <w:t>37.</w:t>
      </w:r>
      <w:r w:rsidRPr="009C0CB3">
        <w:tab/>
        <w:t>Wang F, Wang L, Jiang T-t, Xia J-j, Xu F, Shen L-j, et al. Neutrophil-to-lymphocyte ratio is an independent predictor of 30-day mortality of intracerebral hemorrhage patients: a validation cohort study. Neurotoxicity Research. 2018;34:347-52.</w:t>
      </w:r>
    </w:p>
    <w:p w14:paraId="435EC096" w14:textId="77777777" w:rsidR="009C0CB3" w:rsidRPr="009C0CB3" w:rsidRDefault="009C0CB3" w:rsidP="009C0CB3">
      <w:pPr>
        <w:pStyle w:val="EndNoteBibliography"/>
      </w:pPr>
      <w:r w:rsidRPr="009C0CB3">
        <w:lastRenderedPageBreak/>
        <w:t>38.</w:t>
      </w:r>
      <w:r w:rsidRPr="009C0CB3">
        <w:tab/>
        <w:t>Gökhan S, Ozhasenekler A, Durgun HM, Akil E, Ustündag M, Orak M. Neutrophil lymphocyte ratios in stroke subtypes and transient ischemic attack. Age (mean±SD; y). 2013;67:11.3.</w:t>
      </w:r>
    </w:p>
    <w:p w14:paraId="250F0C04" w14:textId="77777777" w:rsidR="009B07E8" w:rsidRDefault="00DC32EA" w:rsidP="009C0CB3">
      <w:pPr>
        <w:spacing w:line="360" w:lineRule="auto"/>
        <w:jc w:val="both"/>
        <w:rPr>
          <w:rFonts w:asciiTheme="majorBidi" w:hAnsiTheme="majorBidi" w:cstheme="majorBidi"/>
          <w:sz w:val="24"/>
          <w:szCs w:val="24"/>
          <w:lang w:bidi="fa-IR"/>
        </w:rPr>
      </w:pPr>
      <w:r>
        <w:rPr>
          <w:rFonts w:asciiTheme="majorBidi" w:hAnsiTheme="majorBidi" w:cstheme="majorBidi"/>
          <w:sz w:val="24"/>
          <w:szCs w:val="24"/>
          <w:lang w:bidi="fa-IR"/>
        </w:rPr>
        <w:fldChar w:fldCharType="end"/>
      </w:r>
    </w:p>
    <w:p w14:paraId="4D4CC0E8" w14:textId="77777777" w:rsidR="009B07E8" w:rsidRDefault="009B07E8" w:rsidP="009B07E8">
      <w:pPr>
        <w:rPr>
          <w:rFonts w:asciiTheme="majorBidi" w:hAnsiTheme="majorBidi" w:cstheme="majorBidi"/>
          <w:b/>
          <w:bCs/>
        </w:rPr>
      </w:pPr>
      <w:r w:rsidRPr="00B822CD">
        <w:rPr>
          <w:rFonts w:asciiTheme="majorBidi" w:hAnsiTheme="majorBidi" w:cstheme="majorBidi"/>
          <w:b/>
          <w:bCs/>
        </w:rPr>
        <w:t>Figure legends</w:t>
      </w:r>
    </w:p>
    <w:p w14:paraId="14915AC0" w14:textId="77777777" w:rsidR="009B07E8" w:rsidRDefault="009B07E8" w:rsidP="009B07E8">
      <w:pPr>
        <w:jc w:val="both"/>
        <w:rPr>
          <w:rFonts w:asciiTheme="majorBidi" w:hAnsiTheme="majorBidi" w:cstheme="majorBidi"/>
        </w:rPr>
      </w:pPr>
      <w:r>
        <w:rPr>
          <w:rFonts w:asciiTheme="majorBidi" w:hAnsiTheme="majorBidi" w:cstheme="majorBidi"/>
          <w:b/>
          <w:bCs/>
        </w:rPr>
        <w:t xml:space="preserve">Figure 1. </w:t>
      </w:r>
      <w:r w:rsidRPr="00B822CD">
        <w:rPr>
          <w:rFonts w:asciiTheme="majorBidi" w:hAnsiTheme="majorBidi" w:cstheme="majorBidi"/>
        </w:rPr>
        <w:t xml:space="preserve">ROC analysis for the value of predictor variables for mortality in </w:t>
      </w:r>
      <w:r>
        <w:rPr>
          <w:rFonts w:asciiTheme="majorBidi" w:hAnsiTheme="majorBidi" w:cstheme="majorBidi"/>
        </w:rPr>
        <w:t>patients with</w:t>
      </w:r>
      <w:r w:rsidRPr="00B822CD">
        <w:rPr>
          <w:rFonts w:asciiTheme="majorBidi" w:hAnsiTheme="majorBidi" w:cstheme="majorBidi"/>
        </w:rPr>
        <w:t xml:space="preserve"> hydrocephalus</w:t>
      </w:r>
    </w:p>
    <w:p w14:paraId="275342C1" w14:textId="77777777" w:rsidR="009B07E8" w:rsidRPr="00815BC5" w:rsidRDefault="009B07E8" w:rsidP="009B07E8">
      <w:pPr>
        <w:jc w:val="both"/>
        <w:rPr>
          <w:rFonts w:asciiTheme="majorBidi" w:hAnsiTheme="majorBidi" w:cstheme="majorBidi"/>
          <w:rtl/>
          <w:lang w:bidi="fa-IR"/>
        </w:rPr>
      </w:pPr>
      <w:r w:rsidRPr="00815BC5">
        <w:rPr>
          <w:rFonts w:asciiTheme="majorBidi" w:hAnsiTheme="majorBidi" w:cstheme="majorBidi"/>
          <w:b/>
          <w:bCs/>
        </w:rPr>
        <w:t xml:space="preserve">Figure 2.  </w:t>
      </w:r>
      <w:r w:rsidRPr="00815BC5">
        <w:rPr>
          <w:rFonts w:asciiTheme="majorBidi" w:hAnsiTheme="majorBidi" w:cstheme="majorBidi"/>
        </w:rPr>
        <w:t xml:space="preserve">The effect of NLR on the mortality rate based on age, GCS and underlying disease in </w:t>
      </w:r>
      <w:r>
        <w:rPr>
          <w:rFonts w:asciiTheme="majorBidi" w:hAnsiTheme="majorBidi" w:cstheme="majorBidi"/>
        </w:rPr>
        <w:t xml:space="preserve">dead </w:t>
      </w:r>
      <w:r w:rsidRPr="00815BC5">
        <w:rPr>
          <w:rFonts w:asciiTheme="majorBidi" w:hAnsiTheme="majorBidi" w:cstheme="majorBidi"/>
        </w:rPr>
        <w:t>patients with hydrocephalus</w:t>
      </w:r>
      <w:r w:rsidR="00F53878">
        <w:rPr>
          <w:rFonts w:asciiTheme="majorBidi" w:hAnsiTheme="majorBidi" w:cstheme="majorBidi"/>
        </w:rPr>
        <w:t xml:space="preserve"> after EVD</w:t>
      </w:r>
      <w:r>
        <w:rPr>
          <w:rFonts w:asciiTheme="majorBidi" w:hAnsiTheme="majorBidi" w:cstheme="majorBidi"/>
        </w:rPr>
        <w:t>. The data showed that m</w:t>
      </w:r>
      <w:r w:rsidRPr="00815BC5">
        <w:rPr>
          <w:rFonts w:asciiTheme="majorBidi" w:hAnsiTheme="majorBidi" w:cstheme="majorBidi"/>
        </w:rPr>
        <w:t xml:space="preserve">ortality in </w:t>
      </w:r>
      <w:r>
        <w:rPr>
          <w:rFonts w:asciiTheme="majorBidi" w:hAnsiTheme="majorBidi" w:cstheme="majorBidi"/>
        </w:rPr>
        <w:t xml:space="preserve">dead </w:t>
      </w:r>
      <w:r w:rsidRPr="00815BC5">
        <w:rPr>
          <w:rFonts w:asciiTheme="majorBidi" w:hAnsiTheme="majorBidi" w:cstheme="majorBidi"/>
        </w:rPr>
        <w:t>patients with an admission GCS&lt;8 was 90% and was statistically greater than in those with a GCS&gt;8</w:t>
      </w:r>
      <w:r>
        <w:rPr>
          <w:rFonts w:asciiTheme="majorBidi" w:hAnsiTheme="majorBidi" w:cstheme="majorBidi"/>
        </w:rPr>
        <w:t xml:space="preserve">. </w:t>
      </w:r>
      <w:r w:rsidRPr="00815BC5">
        <w:rPr>
          <w:rFonts w:asciiTheme="majorBidi" w:hAnsiTheme="majorBidi" w:cstheme="majorBidi"/>
        </w:rPr>
        <w:t xml:space="preserve">NLR was significantly different in the three groups by GCS in coma and </w:t>
      </w:r>
      <w:proofErr w:type="spellStart"/>
      <w:r w:rsidRPr="00815BC5">
        <w:rPr>
          <w:rFonts w:asciiTheme="majorBidi" w:hAnsiTheme="majorBidi" w:cstheme="majorBidi"/>
        </w:rPr>
        <w:t>semicoma</w:t>
      </w:r>
      <w:proofErr w:type="spellEnd"/>
      <w:r w:rsidRPr="00815BC5">
        <w:rPr>
          <w:rFonts w:asciiTheme="majorBidi" w:hAnsiTheme="majorBidi" w:cstheme="majorBidi"/>
        </w:rPr>
        <w:t xml:space="preserve"> groups compared to the stupor group</w:t>
      </w:r>
      <w:r>
        <w:rPr>
          <w:rFonts w:asciiTheme="majorBidi" w:hAnsiTheme="majorBidi" w:cstheme="majorBidi"/>
        </w:rPr>
        <w:t>. *P&lt;0.05</w:t>
      </w:r>
    </w:p>
    <w:p w14:paraId="4034B922" w14:textId="77777777" w:rsidR="009B07E8" w:rsidRPr="009B07E8" w:rsidRDefault="009B07E8" w:rsidP="009B07E8">
      <w:pPr>
        <w:jc w:val="both"/>
        <w:rPr>
          <w:rFonts w:asciiTheme="majorBidi" w:hAnsiTheme="majorBidi" w:cstheme="majorBidi"/>
          <w:b/>
          <w:bCs/>
          <w:lang w:bidi="fa-IR"/>
        </w:rPr>
      </w:pPr>
      <w:r w:rsidRPr="00815BC5">
        <w:rPr>
          <w:rFonts w:asciiTheme="majorBidi" w:hAnsiTheme="majorBidi" w:cstheme="majorBidi"/>
          <w:b/>
          <w:bCs/>
        </w:rPr>
        <w:t>Figure 3.</w:t>
      </w:r>
      <w:r>
        <w:rPr>
          <w:rFonts w:asciiTheme="majorBidi" w:hAnsiTheme="majorBidi" w:cstheme="majorBidi"/>
          <w:b/>
          <w:bCs/>
        </w:rPr>
        <w:t xml:space="preserve"> </w:t>
      </w:r>
      <w:r>
        <w:rPr>
          <w:rFonts w:asciiTheme="majorBidi" w:hAnsiTheme="majorBidi" w:cstheme="majorBidi"/>
        </w:rPr>
        <w:t xml:space="preserve">The evaluation of low and high NLR with mortality rate in the dead patients with hydrocephalus after EVD. </w:t>
      </w:r>
      <w:r w:rsidRPr="009B07E8">
        <w:rPr>
          <w:rFonts w:asciiTheme="majorBidi" w:hAnsiTheme="majorBidi" w:cstheme="majorBidi"/>
        </w:rPr>
        <w:t>The data showed that the level of NLR was high in the CSF of the dead patient treated with EVD, so that NLR&gt;8.88 was significantly higher than NLR&lt;8.88.</w:t>
      </w:r>
      <w:r>
        <w:rPr>
          <w:rFonts w:asciiTheme="majorBidi" w:hAnsiTheme="majorBidi" w:cstheme="majorBidi"/>
        </w:rPr>
        <w:t xml:space="preserve"> ****P&lt;0.0001</w:t>
      </w:r>
      <w:r w:rsidRPr="00815BC5">
        <w:rPr>
          <w:rFonts w:asciiTheme="majorBidi" w:hAnsiTheme="majorBidi" w:cstheme="majorBidi"/>
        </w:rPr>
        <w:t xml:space="preserve"> </w:t>
      </w:r>
      <w:r>
        <w:rPr>
          <w:rFonts w:asciiTheme="majorBidi" w:hAnsiTheme="majorBidi" w:cstheme="majorBidi"/>
        </w:rPr>
        <w:t xml:space="preserve"> </w:t>
      </w:r>
    </w:p>
    <w:p w14:paraId="41AF3115" w14:textId="77777777" w:rsidR="00247EA7" w:rsidRDefault="00247EA7" w:rsidP="00C40292">
      <w:pPr>
        <w:spacing w:line="360" w:lineRule="auto"/>
        <w:jc w:val="both"/>
        <w:rPr>
          <w:rFonts w:asciiTheme="majorBidi" w:hAnsiTheme="majorBidi" w:cstheme="majorBidi"/>
          <w:sz w:val="24"/>
          <w:szCs w:val="24"/>
          <w:lang w:bidi="fa-IR"/>
        </w:rPr>
      </w:pPr>
    </w:p>
    <w:tbl>
      <w:tblPr>
        <w:tblpPr w:leftFromText="180" w:rightFromText="180" w:bottomFromText="160" w:vertAnchor="page" w:horzAnchor="margin" w:tblpXSpec="center" w:tblpY="1411"/>
        <w:tblW w:w="10444" w:type="dxa"/>
        <w:tblBorders>
          <w:top w:val="single" w:sz="8" w:space="0" w:color="auto"/>
          <w:left w:val="single" w:sz="8" w:space="0" w:color="FFFFFF"/>
          <w:bottom w:val="single" w:sz="8" w:space="0" w:color="auto"/>
          <w:right w:val="single" w:sz="8" w:space="0" w:color="FFFFFF"/>
          <w:insideV w:val="single" w:sz="8" w:space="0" w:color="FFFFFF"/>
        </w:tblBorders>
        <w:tblCellMar>
          <w:left w:w="0" w:type="dxa"/>
          <w:right w:w="0" w:type="dxa"/>
        </w:tblCellMar>
        <w:tblLook w:val="04A0" w:firstRow="1" w:lastRow="0" w:firstColumn="1" w:lastColumn="0" w:noHBand="0" w:noVBand="1"/>
      </w:tblPr>
      <w:tblGrid>
        <w:gridCol w:w="3683"/>
        <w:gridCol w:w="1944"/>
        <w:gridCol w:w="1637"/>
        <w:gridCol w:w="1944"/>
        <w:gridCol w:w="1236"/>
      </w:tblGrid>
      <w:tr w:rsidR="008A2A5B" w14:paraId="472718EA" w14:textId="77777777" w:rsidTr="008A2A5B">
        <w:trPr>
          <w:trHeight w:val="125"/>
        </w:trPr>
        <w:tc>
          <w:tcPr>
            <w:tcW w:w="10444" w:type="dxa"/>
            <w:gridSpan w:val="5"/>
            <w:tcBorders>
              <w:top w:val="nil"/>
              <w:left w:val="nil"/>
              <w:bottom w:val="single" w:sz="4" w:space="0" w:color="auto"/>
              <w:right w:val="nil"/>
            </w:tcBorders>
            <w:tcMar>
              <w:top w:w="15" w:type="dxa"/>
              <w:left w:w="90" w:type="dxa"/>
              <w:bottom w:w="0" w:type="dxa"/>
              <w:right w:w="90" w:type="dxa"/>
            </w:tcMar>
            <w:hideMark/>
          </w:tcPr>
          <w:p w14:paraId="78FAC366" w14:textId="77777777" w:rsidR="008A2A5B" w:rsidRDefault="008A2A5B">
            <w:pPr>
              <w:rPr>
                <w:rFonts w:asciiTheme="majorBidi" w:hAnsiTheme="majorBidi" w:cstheme="majorBidi"/>
              </w:rPr>
            </w:pPr>
            <w:r>
              <w:rPr>
                <w:rFonts w:asciiTheme="majorBidi" w:hAnsiTheme="majorBidi" w:cstheme="majorBidi"/>
              </w:rPr>
              <w:lastRenderedPageBreak/>
              <w:t>Table 1. Demographics and Clinical Characteristics of the</w:t>
            </w:r>
            <w:r>
              <w:rPr>
                <w:rFonts w:ascii="Times New Roman" w:eastAsia="Times New Roman" w:hAnsi="Times New Roman" w:cs="B Nazanin"/>
              </w:rPr>
              <w:t xml:space="preserve"> patients with Hydrocephalus treated with EVD</w:t>
            </w:r>
          </w:p>
        </w:tc>
      </w:tr>
      <w:tr w:rsidR="008A2A5B" w14:paraId="6D998275" w14:textId="77777777" w:rsidTr="008A2A5B">
        <w:trPr>
          <w:trHeight w:val="125"/>
        </w:trPr>
        <w:tc>
          <w:tcPr>
            <w:tcW w:w="3683" w:type="dxa"/>
            <w:tcBorders>
              <w:top w:val="single" w:sz="4" w:space="0" w:color="auto"/>
              <w:left w:val="single" w:sz="8" w:space="0" w:color="FFFFFF"/>
              <w:bottom w:val="single" w:sz="8" w:space="0" w:color="auto"/>
              <w:right w:val="single" w:sz="8" w:space="0" w:color="FFFFFF"/>
            </w:tcBorders>
            <w:tcMar>
              <w:top w:w="15" w:type="dxa"/>
              <w:left w:w="90" w:type="dxa"/>
              <w:bottom w:w="0" w:type="dxa"/>
              <w:right w:w="90" w:type="dxa"/>
            </w:tcMar>
            <w:hideMark/>
          </w:tcPr>
          <w:p w14:paraId="41F3A266" w14:textId="77777777" w:rsidR="008A2A5B" w:rsidRDefault="008A2A5B">
            <w:r>
              <w:rPr>
                <w:b/>
                <w:bCs/>
              </w:rPr>
              <w:t>Variable</w:t>
            </w:r>
          </w:p>
        </w:tc>
        <w:tc>
          <w:tcPr>
            <w:tcW w:w="1944" w:type="dxa"/>
            <w:tcBorders>
              <w:top w:val="single" w:sz="4" w:space="0" w:color="auto"/>
              <w:left w:val="single" w:sz="8" w:space="0" w:color="FFFFFF"/>
              <w:bottom w:val="single" w:sz="8" w:space="0" w:color="auto"/>
              <w:right w:val="single" w:sz="8" w:space="0" w:color="FFFFFF"/>
            </w:tcBorders>
            <w:tcMar>
              <w:top w:w="15" w:type="dxa"/>
              <w:left w:w="90" w:type="dxa"/>
              <w:bottom w:w="0" w:type="dxa"/>
              <w:right w:w="90" w:type="dxa"/>
            </w:tcMar>
            <w:hideMark/>
          </w:tcPr>
          <w:p w14:paraId="3AA9F148" w14:textId="77777777" w:rsidR="008A2A5B" w:rsidRDefault="008A2A5B">
            <w:r>
              <w:rPr>
                <w:b/>
                <w:bCs/>
              </w:rPr>
              <w:t xml:space="preserve">Sample (n = 40) </w:t>
            </w:r>
          </w:p>
        </w:tc>
        <w:tc>
          <w:tcPr>
            <w:tcW w:w="1637" w:type="dxa"/>
            <w:tcBorders>
              <w:top w:val="single" w:sz="4" w:space="0" w:color="auto"/>
              <w:left w:val="single" w:sz="8" w:space="0" w:color="FFFFFF"/>
              <w:bottom w:val="single" w:sz="8" w:space="0" w:color="auto"/>
              <w:right w:val="single" w:sz="8" w:space="0" w:color="FFFFFF"/>
            </w:tcBorders>
            <w:tcMar>
              <w:top w:w="15" w:type="dxa"/>
              <w:left w:w="90" w:type="dxa"/>
              <w:bottom w:w="0" w:type="dxa"/>
              <w:right w:w="90" w:type="dxa"/>
            </w:tcMar>
            <w:hideMark/>
          </w:tcPr>
          <w:p w14:paraId="249A22E9" w14:textId="77777777" w:rsidR="008A2A5B" w:rsidRDefault="008A2A5B">
            <w:r>
              <w:rPr>
                <w:b/>
                <w:bCs/>
              </w:rPr>
              <w:t>Died (n = 20)</w:t>
            </w:r>
          </w:p>
        </w:tc>
        <w:tc>
          <w:tcPr>
            <w:tcW w:w="1944" w:type="dxa"/>
            <w:tcBorders>
              <w:top w:val="single" w:sz="4" w:space="0" w:color="auto"/>
              <w:left w:val="single" w:sz="8" w:space="0" w:color="FFFFFF"/>
              <w:bottom w:val="single" w:sz="8" w:space="0" w:color="auto"/>
              <w:right w:val="single" w:sz="8" w:space="0" w:color="FFFFFF"/>
            </w:tcBorders>
            <w:tcMar>
              <w:top w:w="15" w:type="dxa"/>
              <w:left w:w="90" w:type="dxa"/>
              <w:bottom w:w="0" w:type="dxa"/>
              <w:right w:w="90" w:type="dxa"/>
            </w:tcMar>
            <w:hideMark/>
          </w:tcPr>
          <w:p w14:paraId="483A109F" w14:textId="77777777" w:rsidR="008A2A5B" w:rsidRDefault="008A2A5B">
            <w:r>
              <w:rPr>
                <w:b/>
                <w:bCs/>
              </w:rPr>
              <w:t xml:space="preserve">Alive (n = 20) </w:t>
            </w:r>
          </w:p>
        </w:tc>
        <w:tc>
          <w:tcPr>
            <w:tcW w:w="1236" w:type="dxa"/>
            <w:tcBorders>
              <w:top w:val="single" w:sz="4" w:space="0" w:color="auto"/>
              <w:left w:val="single" w:sz="8" w:space="0" w:color="FFFFFF"/>
              <w:bottom w:val="single" w:sz="8" w:space="0" w:color="auto"/>
              <w:right w:val="single" w:sz="8" w:space="0" w:color="FFFFFF"/>
            </w:tcBorders>
            <w:tcMar>
              <w:top w:w="15" w:type="dxa"/>
              <w:left w:w="90" w:type="dxa"/>
              <w:bottom w:w="0" w:type="dxa"/>
              <w:right w:w="90" w:type="dxa"/>
            </w:tcMar>
            <w:hideMark/>
          </w:tcPr>
          <w:p w14:paraId="769C84A4" w14:textId="77777777" w:rsidR="008A2A5B" w:rsidRDefault="008A2A5B">
            <w:r>
              <w:rPr>
                <w:b/>
                <w:bCs/>
              </w:rPr>
              <w:t>P value</w:t>
            </w:r>
          </w:p>
        </w:tc>
      </w:tr>
      <w:tr w:rsidR="008A2A5B" w14:paraId="6CEB572D" w14:textId="77777777" w:rsidTr="008A2A5B">
        <w:trPr>
          <w:trHeight w:val="254"/>
        </w:trPr>
        <w:tc>
          <w:tcPr>
            <w:tcW w:w="3683" w:type="dxa"/>
            <w:tcBorders>
              <w:top w:val="single" w:sz="8" w:space="0" w:color="auto"/>
              <w:left w:val="single" w:sz="8" w:space="0" w:color="FFFFFF"/>
              <w:bottom w:val="nil"/>
              <w:right w:val="single" w:sz="8" w:space="0" w:color="FFFFFF"/>
            </w:tcBorders>
            <w:tcMar>
              <w:top w:w="15" w:type="dxa"/>
              <w:left w:w="90" w:type="dxa"/>
              <w:bottom w:w="0" w:type="dxa"/>
              <w:right w:w="90" w:type="dxa"/>
            </w:tcMar>
            <w:hideMark/>
          </w:tcPr>
          <w:p w14:paraId="352EBE83" w14:textId="77777777" w:rsidR="008A2A5B" w:rsidRDefault="008A2A5B">
            <w:r>
              <w:rPr>
                <w:b/>
                <w:bCs/>
              </w:rPr>
              <w:t>Age, mean ± SD</w:t>
            </w:r>
          </w:p>
        </w:tc>
        <w:tc>
          <w:tcPr>
            <w:tcW w:w="1944" w:type="dxa"/>
            <w:tcBorders>
              <w:top w:val="single" w:sz="8" w:space="0" w:color="auto"/>
              <w:left w:val="single" w:sz="8" w:space="0" w:color="FFFFFF"/>
              <w:bottom w:val="nil"/>
              <w:right w:val="single" w:sz="8" w:space="0" w:color="FFFFFF"/>
            </w:tcBorders>
            <w:tcMar>
              <w:top w:w="15" w:type="dxa"/>
              <w:left w:w="90" w:type="dxa"/>
              <w:bottom w:w="0" w:type="dxa"/>
              <w:right w:w="90" w:type="dxa"/>
            </w:tcMar>
            <w:hideMark/>
          </w:tcPr>
          <w:p w14:paraId="5D4F72BE" w14:textId="77777777" w:rsidR="008A2A5B" w:rsidRDefault="008A2A5B">
            <w:r>
              <w:t>51.68 ± 16.34</w:t>
            </w:r>
          </w:p>
        </w:tc>
        <w:tc>
          <w:tcPr>
            <w:tcW w:w="1637" w:type="dxa"/>
            <w:tcBorders>
              <w:top w:val="single" w:sz="8" w:space="0" w:color="auto"/>
              <w:left w:val="single" w:sz="8" w:space="0" w:color="FFFFFF"/>
              <w:bottom w:val="nil"/>
              <w:right w:val="single" w:sz="8" w:space="0" w:color="FFFFFF"/>
            </w:tcBorders>
            <w:tcMar>
              <w:top w:w="15" w:type="dxa"/>
              <w:left w:w="90" w:type="dxa"/>
              <w:bottom w:w="0" w:type="dxa"/>
              <w:right w:w="90" w:type="dxa"/>
            </w:tcMar>
            <w:hideMark/>
          </w:tcPr>
          <w:p w14:paraId="4BF1C3FB" w14:textId="77777777" w:rsidR="008A2A5B" w:rsidRDefault="008A2A5B">
            <w:r>
              <w:t>56.25 ± 17.63</w:t>
            </w:r>
          </w:p>
        </w:tc>
        <w:tc>
          <w:tcPr>
            <w:tcW w:w="1944" w:type="dxa"/>
            <w:tcBorders>
              <w:top w:val="single" w:sz="8" w:space="0" w:color="auto"/>
              <w:left w:val="single" w:sz="8" w:space="0" w:color="FFFFFF"/>
              <w:bottom w:val="nil"/>
              <w:right w:val="single" w:sz="8" w:space="0" w:color="FFFFFF"/>
            </w:tcBorders>
            <w:tcMar>
              <w:top w:w="15" w:type="dxa"/>
              <w:left w:w="90" w:type="dxa"/>
              <w:bottom w:w="0" w:type="dxa"/>
              <w:right w:w="90" w:type="dxa"/>
            </w:tcMar>
            <w:hideMark/>
          </w:tcPr>
          <w:p w14:paraId="14F84FAD" w14:textId="77777777" w:rsidR="008A2A5B" w:rsidRDefault="008A2A5B">
            <w:r>
              <w:t>47.10 ± 13.90</w:t>
            </w:r>
          </w:p>
        </w:tc>
        <w:tc>
          <w:tcPr>
            <w:tcW w:w="1236" w:type="dxa"/>
            <w:tcBorders>
              <w:top w:val="single" w:sz="8" w:space="0" w:color="auto"/>
              <w:left w:val="single" w:sz="8" w:space="0" w:color="FFFFFF"/>
              <w:bottom w:val="nil"/>
              <w:right w:val="single" w:sz="8" w:space="0" w:color="FFFFFF"/>
            </w:tcBorders>
            <w:tcMar>
              <w:top w:w="15" w:type="dxa"/>
              <w:left w:w="90" w:type="dxa"/>
              <w:bottom w:w="0" w:type="dxa"/>
              <w:right w:w="90" w:type="dxa"/>
            </w:tcMar>
            <w:hideMark/>
          </w:tcPr>
          <w:p w14:paraId="15154B02" w14:textId="77777777" w:rsidR="008A2A5B" w:rsidRDefault="008A2A5B">
            <w:r>
              <w:t>0.038</w:t>
            </w:r>
          </w:p>
        </w:tc>
      </w:tr>
      <w:tr w:rsidR="008A2A5B" w14:paraId="1F5C547E" w14:textId="77777777" w:rsidTr="008A2A5B">
        <w:trPr>
          <w:trHeight w:val="125"/>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1B7C562E" w14:textId="77777777" w:rsidR="008A2A5B" w:rsidRDefault="008A2A5B">
            <w:r>
              <w:rPr>
                <w:b/>
                <w:bCs/>
              </w:rPr>
              <w:t>Male, n (%)</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0C02EDDE" w14:textId="77777777" w:rsidR="008A2A5B" w:rsidRDefault="008A2A5B">
            <w:r>
              <w:t>24 (60)</w:t>
            </w:r>
          </w:p>
        </w:tc>
        <w:tc>
          <w:tcPr>
            <w:tcW w:w="1637" w:type="dxa"/>
            <w:tcBorders>
              <w:top w:val="nil"/>
              <w:left w:val="single" w:sz="8" w:space="0" w:color="FFFFFF"/>
              <w:bottom w:val="nil"/>
              <w:right w:val="single" w:sz="8" w:space="0" w:color="FFFFFF"/>
            </w:tcBorders>
            <w:tcMar>
              <w:top w:w="15" w:type="dxa"/>
              <w:left w:w="90" w:type="dxa"/>
              <w:bottom w:w="0" w:type="dxa"/>
              <w:right w:w="90" w:type="dxa"/>
            </w:tcMar>
            <w:hideMark/>
          </w:tcPr>
          <w:p w14:paraId="676C183E" w14:textId="77777777" w:rsidR="008A2A5B" w:rsidRDefault="008A2A5B">
            <w:r>
              <w:t>11 (55)</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38EADE03" w14:textId="77777777" w:rsidR="008A2A5B" w:rsidRDefault="008A2A5B">
            <w:r>
              <w:t>13 (65)</w:t>
            </w:r>
          </w:p>
        </w:tc>
        <w:tc>
          <w:tcPr>
            <w:tcW w:w="1236" w:type="dxa"/>
            <w:tcBorders>
              <w:top w:val="nil"/>
              <w:left w:val="single" w:sz="8" w:space="0" w:color="FFFFFF"/>
              <w:bottom w:val="nil"/>
              <w:right w:val="single" w:sz="8" w:space="0" w:color="FFFFFF"/>
            </w:tcBorders>
            <w:tcMar>
              <w:top w:w="15" w:type="dxa"/>
              <w:left w:w="90" w:type="dxa"/>
              <w:bottom w:w="0" w:type="dxa"/>
              <w:right w:w="90" w:type="dxa"/>
            </w:tcMar>
            <w:hideMark/>
          </w:tcPr>
          <w:p w14:paraId="2553EA9D" w14:textId="77777777" w:rsidR="008A2A5B" w:rsidRDefault="008A2A5B">
            <w:r>
              <w:t>0.519</w:t>
            </w:r>
          </w:p>
        </w:tc>
      </w:tr>
      <w:tr w:rsidR="008A2A5B" w14:paraId="5AFE9277" w14:textId="77777777" w:rsidTr="008A2A5B">
        <w:trPr>
          <w:trHeight w:val="383"/>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342215E1" w14:textId="77777777" w:rsidR="008A2A5B" w:rsidRDefault="008A2A5B">
            <w:r>
              <w:rPr>
                <w:b/>
                <w:bCs/>
              </w:rPr>
              <w:t>level of consciousness, mean (%)</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1AAE23BE" w14:textId="77777777" w:rsidR="008A2A5B" w:rsidRDefault="008A2A5B">
            <w:r>
              <w:t xml:space="preserve">7.10 ± 2.39 </w:t>
            </w:r>
          </w:p>
        </w:tc>
        <w:tc>
          <w:tcPr>
            <w:tcW w:w="1637" w:type="dxa"/>
            <w:tcBorders>
              <w:top w:val="nil"/>
              <w:left w:val="single" w:sz="8" w:space="0" w:color="FFFFFF"/>
              <w:bottom w:val="nil"/>
              <w:right w:val="single" w:sz="8" w:space="0" w:color="FFFFFF"/>
            </w:tcBorders>
            <w:tcMar>
              <w:top w:w="15" w:type="dxa"/>
              <w:left w:w="90" w:type="dxa"/>
              <w:bottom w:w="0" w:type="dxa"/>
              <w:right w:w="90" w:type="dxa"/>
            </w:tcMar>
            <w:hideMark/>
          </w:tcPr>
          <w:p w14:paraId="259E030C" w14:textId="77777777" w:rsidR="008A2A5B" w:rsidRDefault="008A2A5B">
            <w:r>
              <w:t>5.35 ± 1.31</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39E7A0BA" w14:textId="77777777" w:rsidR="008A2A5B" w:rsidRDefault="008A2A5B">
            <w:r>
              <w:t>8.85 ± 1.90</w:t>
            </w:r>
          </w:p>
        </w:tc>
        <w:tc>
          <w:tcPr>
            <w:tcW w:w="1236" w:type="dxa"/>
            <w:tcBorders>
              <w:top w:val="nil"/>
              <w:left w:val="single" w:sz="8" w:space="0" w:color="FFFFFF"/>
              <w:bottom w:val="nil"/>
              <w:right w:val="single" w:sz="8" w:space="0" w:color="FFFFFF"/>
            </w:tcBorders>
            <w:tcMar>
              <w:top w:w="15" w:type="dxa"/>
              <w:left w:w="90" w:type="dxa"/>
              <w:bottom w:w="0" w:type="dxa"/>
              <w:right w:w="90" w:type="dxa"/>
            </w:tcMar>
            <w:hideMark/>
          </w:tcPr>
          <w:p w14:paraId="060DD059" w14:textId="77777777" w:rsidR="008A2A5B" w:rsidRDefault="008A2A5B">
            <w:r>
              <w:t>&lt;0.001</w:t>
            </w:r>
          </w:p>
        </w:tc>
      </w:tr>
      <w:tr w:rsidR="008A2A5B" w14:paraId="54C59A1E" w14:textId="77777777" w:rsidTr="008A2A5B">
        <w:trPr>
          <w:gridAfter w:val="4"/>
          <w:wAfter w:w="6761" w:type="dxa"/>
          <w:trHeight w:val="254"/>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7345B88B" w14:textId="77777777" w:rsidR="008A2A5B" w:rsidRDefault="008A2A5B">
            <w:r>
              <w:rPr>
                <w:b/>
                <w:bCs/>
              </w:rPr>
              <w:t>Covid-19-infected, n (%)</w:t>
            </w:r>
          </w:p>
        </w:tc>
      </w:tr>
      <w:tr w:rsidR="008A2A5B" w14:paraId="16D7D051" w14:textId="77777777" w:rsidTr="008A2A5B">
        <w:trPr>
          <w:trHeight w:val="125"/>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3BB640D9" w14:textId="77777777" w:rsidR="008A2A5B" w:rsidRDefault="008A2A5B">
            <w:r>
              <w:rPr>
                <w:b/>
                <w:bCs/>
              </w:rPr>
              <w:t>Yes</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59E29767" w14:textId="77777777" w:rsidR="008A2A5B" w:rsidRDefault="008A2A5B">
            <w:r>
              <w:t>7 (17.5)</w:t>
            </w:r>
          </w:p>
        </w:tc>
        <w:tc>
          <w:tcPr>
            <w:tcW w:w="1637" w:type="dxa"/>
            <w:tcBorders>
              <w:top w:val="nil"/>
              <w:left w:val="single" w:sz="8" w:space="0" w:color="FFFFFF"/>
              <w:bottom w:val="nil"/>
              <w:right w:val="single" w:sz="8" w:space="0" w:color="FFFFFF"/>
            </w:tcBorders>
            <w:tcMar>
              <w:top w:w="15" w:type="dxa"/>
              <w:left w:w="90" w:type="dxa"/>
              <w:bottom w:w="0" w:type="dxa"/>
              <w:right w:w="90" w:type="dxa"/>
            </w:tcMar>
            <w:hideMark/>
          </w:tcPr>
          <w:p w14:paraId="64D72AB3" w14:textId="77777777" w:rsidR="008A2A5B" w:rsidRDefault="008A2A5B">
            <w:r>
              <w:t>5 (25)</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2D8DFE87" w14:textId="77777777" w:rsidR="008A2A5B" w:rsidRDefault="008A2A5B">
            <w:r>
              <w:t>2 (10)</w:t>
            </w:r>
          </w:p>
        </w:tc>
        <w:tc>
          <w:tcPr>
            <w:tcW w:w="1236" w:type="dxa"/>
            <w:vMerge w:val="restart"/>
            <w:tcBorders>
              <w:top w:val="nil"/>
              <w:left w:val="single" w:sz="8" w:space="0" w:color="FFFFFF"/>
              <w:bottom w:val="nil"/>
              <w:right w:val="single" w:sz="8" w:space="0" w:color="FFFFFF"/>
            </w:tcBorders>
            <w:tcMar>
              <w:top w:w="15" w:type="dxa"/>
              <w:left w:w="90" w:type="dxa"/>
              <w:bottom w:w="0" w:type="dxa"/>
              <w:right w:w="90" w:type="dxa"/>
            </w:tcMar>
            <w:hideMark/>
          </w:tcPr>
          <w:p w14:paraId="3B6A514B" w14:textId="77777777" w:rsidR="008A2A5B" w:rsidRDefault="008A2A5B">
            <w:r>
              <w:t>0.407</w:t>
            </w:r>
          </w:p>
          <w:p w14:paraId="78BD7253" w14:textId="77777777" w:rsidR="008A2A5B" w:rsidRDefault="008A2A5B">
            <w:r>
              <w:t> </w:t>
            </w:r>
          </w:p>
        </w:tc>
      </w:tr>
      <w:tr w:rsidR="008A2A5B" w14:paraId="1921F958" w14:textId="77777777" w:rsidTr="008A2A5B">
        <w:trPr>
          <w:trHeight w:val="125"/>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705F7822" w14:textId="77777777" w:rsidR="008A2A5B" w:rsidRDefault="008A2A5B">
            <w:r>
              <w:rPr>
                <w:b/>
                <w:bCs/>
              </w:rPr>
              <w:t>NO</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19909FD9" w14:textId="77777777" w:rsidR="008A2A5B" w:rsidRDefault="008A2A5B">
            <w:r>
              <w:t>33 (82.5)</w:t>
            </w:r>
          </w:p>
        </w:tc>
        <w:tc>
          <w:tcPr>
            <w:tcW w:w="1637" w:type="dxa"/>
            <w:tcBorders>
              <w:top w:val="nil"/>
              <w:left w:val="single" w:sz="8" w:space="0" w:color="FFFFFF"/>
              <w:bottom w:val="nil"/>
              <w:right w:val="single" w:sz="8" w:space="0" w:color="FFFFFF"/>
            </w:tcBorders>
            <w:tcMar>
              <w:top w:w="15" w:type="dxa"/>
              <w:left w:w="90" w:type="dxa"/>
              <w:bottom w:w="0" w:type="dxa"/>
              <w:right w:w="90" w:type="dxa"/>
            </w:tcMar>
            <w:hideMark/>
          </w:tcPr>
          <w:p w14:paraId="5C510619" w14:textId="77777777" w:rsidR="008A2A5B" w:rsidRDefault="008A2A5B">
            <w:r>
              <w:t>5 (25)</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2B63C4C0" w14:textId="77777777" w:rsidR="008A2A5B" w:rsidRDefault="008A2A5B">
            <w:r>
              <w:t>2 (10)</w:t>
            </w:r>
          </w:p>
        </w:tc>
        <w:tc>
          <w:tcPr>
            <w:tcW w:w="0" w:type="auto"/>
            <w:vMerge/>
            <w:tcBorders>
              <w:top w:val="nil"/>
              <w:left w:val="single" w:sz="8" w:space="0" w:color="FFFFFF"/>
              <w:bottom w:val="nil"/>
              <w:right w:val="single" w:sz="8" w:space="0" w:color="FFFFFF"/>
            </w:tcBorders>
            <w:vAlign w:val="center"/>
            <w:hideMark/>
          </w:tcPr>
          <w:p w14:paraId="2D7FC128" w14:textId="77777777" w:rsidR="008A2A5B" w:rsidRDefault="008A2A5B">
            <w:pPr>
              <w:spacing w:after="0"/>
            </w:pPr>
          </w:p>
        </w:tc>
      </w:tr>
      <w:tr w:rsidR="008A2A5B" w14:paraId="651A43AB" w14:textId="77777777" w:rsidTr="008A2A5B">
        <w:trPr>
          <w:gridAfter w:val="4"/>
          <w:wAfter w:w="6761" w:type="dxa"/>
          <w:trHeight w:val="254"/>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47676854" w14:textId="77777777" w:rsidR="008A2A5B" w:rsidRDefault="008A2A5B">
            <w:r>
              <w:rPr>
                <w:b/>
                <w:bCs/>
              </w:rPr>
              <w:t>History of organ failure, n (%)</w:t>
            </w:r>
          </w:p>
        </w:tc>
      </w:tr>
      <w:tr w:rsidR="008A2A5B" w14:paraId="2BFA1A38" w14:textId="77777777" w:rsidTr="008A2A5B">
        <w:trPr>
          <w:trHeight w:val="125"/>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3BA2D934" w14:textId="77777777" w:rsidR="008A2A5B" w:rsidRDefault="008A2A5B">
            <w:r>
              <w:rPr>
                <w:b/>
                <w:bCs/>
              </w:rPr>
              <w:t>Yes</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717370CF" w14:textId="77777777" w:rsidR="008A2A5B" w:rsidRDefault="008A2A5B">
            <w:r>
              <w:t>7 (17.5)</w:t>
            </w:r>
          </w:p>
        </w:tc>
        <w:tc>
          <w:tcPr>
            <w:tcW w:w="1637" w:type="dxa"/>
            <w:tcBorders>
              <w:top w:val="nil"/>
              <w:left w:val="single" w:sz="8" w:space="0" w:color="FFFFFF"/>
              <w:bottom w:val="nil"/>
              <w:right w:val="single" w:sz="8" w:space="0" w:color="FFFFFF"/>
            </w:tcBorders>
            <w:tcMar>
              <w:top w:w="15" w:type="dxa"/>
              <w:left w:w="90" w:type="dxa"/>
              <w:bottom w:w="0" w:type="dxa"/>
              <w:right w:w="90" w:type="dxa"/>
            </w:tcMar>
            <w:hideMark/>
          </w:tcPr>
          <w:p w14:paraId="74BBBBFE" w14:textId="77777777" w:rsidR="008A2A5B" w:rsidRDefault="008A2A5B">
            <w:r>
              <w:t>5 (25)</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6127F6C8" w14:textId="77777777" w:rsidR="008A2A5B" w:rsidRDefault="008A2A5B">
            <w:r>
              <w:t>2 (10)</w:t>
            </w:r>
          </w:p>
        </w:tc>
        <w:tc>
          <w:tcPr>
            <w:tcW w:w="1236" w:type="dxa"/>
            <w:vMerge w:val="restart"/>
            <w:tcBorders>
              <w:top w:val="nil"/>
              <w:left w:val="single" w:sz="8" w:space="0" w:color="FFFFFF"/>
              <w:bottom w:val="nil"/>
              <w:right w:val="single" w:sz="8" w:space="0" w:color="FFFFFF"/>
            </w:tcBorders>
            <w:tcMar>
              <w:top w:w="15" w:type="dxa"/>
              <w:left w:w="90" w:type="dxa"/>
              <w:bottom w:w="0" w:type="dxa"/>
              <w:right w:w="90" w:type="dxa"/>
            </w:tcMar>
            <w:hideMark/>
          </w:tcPr>
          <w:p w14:paraId="55334C11" w14:textId="77777777" w:rsidR="008A2A5B" w:rsidRDefault="008A2A5B">
            <w:r>
              <w:t>0.407</w:t>
            </w:r>
          </w:p>
        </w:tc>
      </w:tr>
      <w:tr w:rsidR="008A2A5B" w14:paraId="2022EC87" w14:textId="77777777" w:rsidTr="008A2A5B">
        <w:trPr>
          <w:trHeight w:val="125"/>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34CC9B5B" w14:textId="77777777" w:rsidR="008A2A5B" w:rsidRDefault="008A2A5B">
            <w:r>
              <w:rPr>
                <w:b/>
                <w:bCs/>
              </w:rPr>
              <w:t>NO</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2870B0B3" w14:textId="77777777" w:rsidR="008A2A5B" w:rsidRDefault="008A2A5B">
            <w:r>
              <w:t>33 (82.5)</w:t>
            </w:r>
          </w:p>
        </w:tc>
        <w:tc>
          <w:tcPr>
            <w:tcW w:w="1637" w:type="dxa"/>
            <w:tcBorders>
              <w:top w:val="nil"/>
              <w:left w:val="single" w:sz="8" w:space="0" w:color="FFFFFF"/>
              <w:bottom w:val="nil"/>
              <w:right w:val="single" w:sz="8" w:space="0" w:color="FFFFFF"/>
            </w:tcBorders>
            <w:tcMar>
              <w:top w:w="15" w:type="dxa"/>
              <w:left w:w="90" w:type="dxa"/>
              <w:bottom w:w="0" w:type="dxa"/>
              <w:right w:w="90" w:type="dxa"/>
            </w:tcMar>
            <w:hideMark/>
          </w:tcPr>
          <w:p w14:paraId="0637972D" w14:textId="77777777" w:rsidR="008A2A5B" w:rsidRDefault="008A2A5B">
            <w:r>
              <w:t>15 (75)</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1DAF4C27" w14:textId="77777777" w:rsidR="008A2A5B" w:rsidRDefault="008A2A5B">
            <w:r>
              <w:t>18 (90)</w:t>
            </w:r>
          </w:p>
        </w:tc>
        <w:tc>
          <w:tcPr>
            <w:tcW w:w="0" w:type="auto"/>
            <w:vMerge/>
            <w:tcBorders>
              <w:top w:val="nil"/>
              <w:left w:val="single" w:sz="8" w:space="0" w:color="FFFFFF"/>
              <w:bottom w:val="nil"/>
              <w:right w:val="single" w:sz="8" w:space="0" w:color="FFFFFF"/>
            </w:tcBorders>
            <w:vAlign w:val="center"/>
            <w:hideMark/>
          </w:tcPr>
          <w:p w14:paraId="69092D7C" w14:textId="77777777" w:rsidR="008A2A5B" w:rsidRDefault="008A2A5B">
            <w:pPr>
              <w:spacing w:after="0"/>
            </w:pPr>
          </w:p>
        </w:tc>
      </w:tr>
      <w:tr w:rsidR="008A2A5B" w14:paraId="5E12133D" w14:textId="77777777" w:rsidTr="008A2A5B">
        <w:trPr>
          <w:trHeight w:val="125"/>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76D8C1E5" w14:textId="77777777" w:rsidR="008A2A5B" w:rsidRDefault="008A2A5B">
            <w:pPr>
              <w:rPr>
                <w:b/>
                <w:bCs/>
              </w:rPr>
            </w:pPr>
            <w:r>
              <w:rPr>
                <w:b/>
                <w:bCs/>
              </w:rPr>
              <w:t>Underling disease, n (%)</w:t>
            </w:r>
          </w:p>
        </w:tc>
        <w:tc>
          <w:tcPr>
            <w:tcW w:w="1944" w:type="dxa"/>
            <w:tcBorders>
              <w:top w:val="nil"/>
              <w:left w:val="single" w:sz="8" w:space="0" w:color="FFFFFF"/>
              <w:bottom w:val="nil"/>
              <w:right w:val="single" w:sz="8" w:space="0" w:color="FFFFFF"/>
            </w:tcBorders>
            <w:tcMar>
              <w:top w:w="15" w:type="dxa"/>
              <w:left w:w="90" w:type="dxa"/>
              <w:bottom w:w="0" w:type="dxa"/>
              <w:right w:w="90" w:type="dxa"/>
            </w:tcMar>
          </w:tcPr>
          <w:p w14:paraId="749359A3" w14:textId="77777777" w:rsidR="008A2A5B" w:rsidRDefault="008A2A5B"/>
        </w:tc>
        <w:tc>
          <w:tcPr>
            <w:tcW w:w="1637" w:type="dxa"/>
            <w:tcBorders>
              <w:top w:val="nil"/>
              <w:left w:val="single" w:sz="8" w:space="0" w:color="FFFFFF"/>
              <w:bottom w:val="nil"/>
              <w:right w:val="single" w:sz="8" w:space="0" w:color="FFFFFF"/>
            </w:tcBorders>
            <w:tcMar>
              <w:top w:w="15" w:type="dxa"/>
              <w:left w:w="90" w:type="dxa"/>
              <w:bottom w:w="0" w:type="dxa"/>
              <w:right w:w="90" w:type="dxa"/>
            </w:tcMar>
          </w:tcPr>
          <w:p w14:paraId="53E2AE56" w14:textId="77777777" w:rsidR="008A2A5B" w:rsidRDefault="008A2A5B"/>
        </w:tc>
        <w:tc>
          <w:tcPr>
            <w:tcW w:w="1944" w:type="dxa"/>
            <w:tcBorders>
              <w:top w:val="nil"/>
              <w:left w:val="single" w:sz="8" w:space="0" w:color="FFFFFF"/>
              <w:bottom w:val="nil"/>
              <w:right w:val="single" w:sz="8" w:space="0" w:color="FFFFFF"/>
            </w:tcBorders>
            <w:tcMar>
              <w:top w:w="15" w:type="dxa"/>
              <w:left w:w="90" w:type="dxa"/>
              <w:bottom w:w="0" w:type="dxa"/>
              <w:right w:w="90" w:type="dxa"/>
            </w:tcMar>
          </w:tcPr>
          <w:p w14:paraId="3A46F747" w14:textId="77777777" w:rsidR="008A2A5B" w:rsidRDefault="008A2A5B"/>
        </w:tc>
        <w:tc>
          <w:tcPr>
            <w:tcW w:w="1236" w:type="dxa"/>
            <w:tcBorders>
              <w:top w:val="nil"/>
              <w:left w:val="single" w:sz="8" w:space="0" w:color="FFFFFF"/>
              <w:bottom w:val="nil"/>
              <w:right w:val="single" w:sz="8" w:space="0" w:color="FFFFFF"/>
            </w:tcBorders>
          </w:tcPr>
          <w:p w14:paraId="4F89370F" w14:textId="77777777" w:rsidR="008A2A5B" w:rsidRDefault="008A2A5B"/>
        </w:tc>
      </w:tr>
      <w:tr w:rsidR="008A2A5B" w14:paraId="3DDA1297" w14:textId="77777777" w:rsidTr="008A2A5B">
        <w:trPr>
          <w:trHeight w:val="622"/>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7678EE5D" w14:textId="77777777" w:rsidR="008A2A5B" w:rsidRDefault="008A2A5B">
            <w:pPr>
              <w:rPr>
                <w:b/>
                <w:bCs/>
              </w:rPr>
            </w:pPr>
            <w:r>
              <w:rPr>
                <w:b/>
                <w:bCs/>
              </w:rPr>
              <w:t>Yes</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185D5282" w14:textId="77777777" w:rsidR="008A2A5B" w:rsidRDefault="008A2A5B">
            <w:r>
              <w:t>8 (20)</w:t>
            </w:r>
          </w:p>
        </w:tc>
        <w:tc>
          <w:tcPr>
            <w:tcW w:w="1637" w:type="dxa"/>
            <w:tcBorders>
              <w:top w:val="nil"/>
              <w:left w:val="single" w:sz="8" w:space="0" w:color="FFFFFF"/>
              <w:bottom w:val="nil"/>
              <w:right w:val="single" w:sz="8" w:space="0" w:color="FFFFFF"/>
            </w:tcBorders>
            <w:tcMar>
              <w:top w:w="15" w:type="dxa"/>
              <w:left w:w="90" w:type="dxa"/>
              <w:bottom w:w="0" w:type="dxa"/>
              <w:right w:w="90" w:type="dxa"/>
            </w:tcMar>
            <w:hideMark/>
          </w:tcPr>
          <w:p w14:paraId="4F330E48" w14:textId="77777777" w:rsidR="008A2A5B" w:rsidRDefault="008A2A5B">
            <w:r>
              <w:t>7 (88)</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74B7BDD0" w14:textId="77777777" w:rsidR="008A2A5B" w:rsidRDefault="008A2A5B">
            <w:r>
              <w:t>1 (12)</w:t>
            </w:r>
          </w:p>
        </w:tc>
        <w:tc>
          <w:tcPr>
            <w:tcW w:w="1236" w:type="dxa"/>
            <w:vMerge w:val="restart"/>
            <w:tcBorders>
              <w:top w:val="nil"/>
              <w:left w:val="single" w:sz="8" w:space="0" w:color="FFFFFF"/>
              <w:bottom w:val="nil"/>
              <w:right w:val="single" w:sz="8" w:space="0" w:color="FFFFFF"/>
            </w:tcBorders>
          </w:tcPr>
          <w:p w14:paraId="47F9D6B6" w14:textId="77777777" w:rsidR="008A2A5B" w:rsidRDefault="008A2A5B">
            <w:pPr>
              <w:rPr>
                <w:rFonts w:ascii="Arial" w:hAnsi="Arial" w:cs="Arial"/>
                <w:sz w:val="20"/>
                <w:szCs w:val="20"/>
              </w:rPr>
            </w:pPr>
          </w:p>
          <w:p w14:paraId="56AEF196" w14:textId="77777777" w:rsidR="008A2A5B" w:rsidRDefault="008A2A5B">
            <w:pPr>
              <w:rPr>
                <w:rFonts w:ascii="Arial" w:hAnsi="Arial" w:cs="Arial"/>
                <w:sz w:val="20"/>
                <w:szCs w:val="20"/>
              </w:rPr>
            </w:pPr>
            <w:r>
              <w:rPr>
                <w:rFonts w:ascii="Arial" w:hAnsi="Arial" w:cs="Arial"/>
                <w:sz w:val="20"/>
                <w:szCs w:val="20"/>
              </w:rPr>
              <w:t xml:space="preserve"> 0.144</w:t>
            </w:r>
          </w:p>
          <w:p w14:paraId="1076EFCC" w14:textId="77777777" w:rsidR="008A2A5B" w:rsidRDefault="008A2A5B"/>
        </w:tc>
      </w:tr>
      <w:tr w:rsidR="008A2A5B" w14:paraId="44D792BD" w14:textId="77777777" w:rsidTr="008A2A5B">
        <w:trPr>
          <w:trHeight w:val="415"/>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72080E82" w14:textId="77777777" w:rsidR="008A2A5B" w:rsidRDefault="008A2A5B">
            <w:pPr>
              <w:rPr>
                <w:b/>
                <w:bCs/>
              </w:rPr>
            </w:pPr>
            <w:r>
              <w:rPr>
                <w:b/>
                <w:bCs/>
              </w:rPr>
              <w:t>NO</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3A218165" w14:textId="77777777" w:rsidR="008A2A5B" w:rsidRDefault="008A2A5B">
            <w:r>
              <w:t>32 (80)</w:t>
            </w:r>
          </w:p>
        </w:tc>
        <w:tc>
          <w:tcPr>
            <w:tcW w:w="1637" w:type="dxa"/>
            <w:tcBorders>
              <w:top w:val="nil"/>
              <w:left w:val="single" w:sz="8" w:space="0" w:color="FFFFFF"/>
              <w:bottom w:val="nil"/>
              <w:right w:val="single" w:sz="8" w:space="0" w:color="FFFFFF"/>
            </w:tcBorders>
            <w:tcMar>
              <w:top w:w="15" w:type="dxa"/>
              <w:left w:w="90" w:type="dxa"/>
              <w:bottom w:w="0" w:type="dxa"/>
              <w:right w:w="90" w:type="dxa"/>
            </w:tcMar>
            <w:hideMark/>
          </w:tcPr>
          <w:p w14:paraId="326DD662" w14:textId="77777777" w:rsidR="008A2A5B" w:rsidRDefault="008A2A5B">
            <w:r>
              <w:t>13 (41)</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3AC64D83" w14:textId="77777777" w:rsidR="008A2A5B" w:rsidRDefault="008A2A5B">
            <w:r>
              <w:t>19 (59)</w:t>
            </w:r>
          </w:p>
        </w:tc>
        <w:tc>
          <w:tcPr>
            <w:tcW w:w="0" w:type="auto"/>
            <w:vMerge/>
            <w:tcBorders>
              <w:top w:val="nil"/>
              <w:left w:val="single" w:sz="8" w:space="0" w:color="FFFFFF"/>
              <w:bottom w:val="nil"/>
              <w:right w:val="single" w:sz="8" w:space="0" w:color="FFFFFF"/>
            </w:tcBorders>
            <w:vAlign w:val="center"/>
            <w:hideMark/>
          </w:tcPr>
          <w:p w14:paraId="6498613F" w14:textId="77777777" w:rsidR="008A2A5B" w:rsidRDefault="008A2A5B">
            <w:pPr>
              <w:spacing w:after="0"/>
            </w:pPr>
          </w:p>
        </w:tc>
      </w:tr>
      <w:tr w:rsidR="008A2A5B" w14:paraId="4B136113" w14:textId="77777777" w:rsidTr="008A2A5B">
        <w:trPr>
          <w:trHeight w:val="254"/>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1D25493C" w14:textId="77777777" w:rsidR="008A2A5B" w:rsidRDefault="008A2A5B">
            <w:r>
              <w:rPr>
                <w:b/>
                <w:bCs/>
              </w:rPr>
              <w:t>Type of primary disease, n (%)</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3A773DD7" w14:textId="77777777" w:rsidR="008A2A5B" w:rsidRDefault="008A2A5B">
            <w:r>
              <w:t> </w:t>
            </w:r>
          </w:p>
        </w:tc>
        <w:tc>
          <w:tcPr>
            <w:tcW w:w="1637" w:type="dxa"/>
            <w:tcBorders>
              <w:top w:val="nil"/>
              <w:left w:val="single" w:sz="8" w:space="0" w:color="FFFFFF"/>
              <w:bottom w:val="nil"/>
              <w:right w:val="single" w:sz="8" w:space="0" w:color="FFFFFF"/>
            </w:tcBorders>
            <w:tcMar>
              <w:top w:w="15" w:type="dxa"/>
              <w:left w:w="90" w:type="dxa"/>
              <w:bottom w:w="0" w:type="dxa"/>
              <w:right w:w="90" w:type="dxa"/>
            </w:tcMar>
            <w:hideMark/>
          </w:tcPr>
          <w:p w14:paraId="0B8C400B" w14:textId="77777777" w:rsidR="008A2A5B" w:rsidRDefault="008A2A5B">
            <w:r>
              <w:t> </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1E819ECB" w14:textId="77777777" w:rsidR="008A2A5B" w:rsidRDefault="008A2A5B">
            <w:r>
              <w:t> </w:t>
            </w:r>
          </w:p>
        </w:tc>
        <w:tc>
          <w:tcPr>
            <w:tcW w:w="1236" w:type="dxa"/>
            <w:vMerge w:val="restart"/>
            <w:tcBorders>
              <w:top w:val="nil"/>
              <w:left w:val="single" w:sz="8" w:space="0" w:color="FFFFFF"/>
              <w:bottom w:val="nil"/>
              <w:right w:val="single" w:sz="8" w:space="0" w:color="FFFFFF"/>
            </w:tcBorders>
            <w:tcMar>
              <w:top w:w="15" w:type="dxa"/>
              <w:left w:w="90" w:type="dxa"/>
              <w:bottom w:w="0" w:type="dxa"/>
              <w:right w:w="90" w:type="dxa"/>
            </w:tcMar>
            <w:hideMark/>
          </w:tcPr>
          <w:p w14:paraId="6DB59F72" w14:textId="77777777" w:rsidR="008A2A5B" w:rsidRDefault="008A2A5B">
            <w:r>
              <w:t> </w:t>
            </w:r>
          </w:p>
          <w:p w14:paraId="6BB2C01D" w14:textId="77777777" w:rsidR="008A2A5B" w:rsidRDefault="008A2A5B">
            <w:r>
              <w:t> </w:t>
            </w:r>
          </w:p>
          <w:p w14:paraId="4381015C" w14:textId="77777777" w:rsidR="008A2A5B" w:rsidRDefault="008A2A5B">
            <w:r>
              <w:t> </w:t>
            </w:r>
          </w:p>
          <w:p w14:paraId="471E04C2" w14:textId="77777777" w:rsidR="008A2A5B" w:rsidRDefault="008A2A5B">
            <w:r>
              <w:t> 0.162</w:t>
            </w:r>
          </w:p>
          <w:p w14:paraId="65A95440" w14:textId="77777777" w:rsidR="008A2A5B" w:rsidRDefault="008A2A5B">
            <w:r>
              <w:t> </w:t>
            </w:r>
          </w:p>
          <w:p w14:paraId="2C1209EC" w14:textId="77777777" w:rsidR="008A2A5B" w:rsidRDefault="008A2A5B">
            <w:r>
              <w:t> </w:t>
            </w:r>
          </w:p>
        </w:tc>
      </w:tr>
      <w:tr w:rsidR="008A2A5B" w14:paraId="3F9129EA" w14:textId="77777777" w:rsidTr="008A2A5B">
        <w:trPr>
          <w:trHeight w:val="254"/>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417FF489" w14:textId="77777777" w:rsidR="008A2A5B" w:rsidRDefault="008A2A5B">
            <w:r>
              <w:rPr>
                <w:b/>
                <w:bCs/>
              </w:rPr>
              <w:t>Intracranial hemorrhage</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64D5156B" w14:textId="77777777" w:rsidR="008A2A5B" w:rsidRDefault="008A2A5B">
            <w:r>
              <w:t>22 (55)</w:t>
            </w:r>
          </w:p>
        </w:tc>
        <w:tc>
          <w:tcPr>
            <w:tcW w:w="1637" w:type="dxa"/>
            <w:tcBorders>
              <w:top w:val="nil"/>
              <w:left w:val="single" w:sz="8" w:space="0" w:color="FFFFFF"/>
              <w:bottom w:val="nil"/>
              <w:right w:val="single" w:sz="8" w:space="0" w:color="FFFFFF"/>
            </w:tcBorders>
            <w:tcMar>
              <w:top w:w="15" w:type="dxa"/>
              <w:left w:w="90" w:type="dxa"/>
              <w:bottom w:w="0" w:type="dxa"/>
              <w:right w:w="90" w:type="dxa"/>
            </w:tcMar>
            <w:hideMark/>
          </w:tcPr>
          <w:p w14:paraId="5DA3880E" w14:textId="77777777" w:rsidR="008A2A5B" w:rsidRDefault="008A2A5B">
            <w:bookmarkStart w:id="1" w:name="OLE_LINK5"/>
            <w:r>
              <w:t>12</w:t>
            </w:r>
            <w:bookmarkEnd w:id="1"/>
            <w:r>
              <w:t xml:space="preserve"> (55)</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65A76749" w14:textId="77777777" w:rsidR="008A2A5B" w:rsidRDefault="008A2A5B">
            <w:bookmarkStart w:id="2" w:name="OLE_LINK6"/>
            <w:r>
              <w:t>10</w:t>
            </w:r>
            <w:bookmarkEnd w:id="2"/>
            <w:r>
              <w:t xml:space="preserve"> (45)</w:t>
            </w:r>
          </w:p>
        </w:tc>
        <w:tc>
          <w:tcPr>
            <w:tcW w:w="0" w:type="auto"/>
            <w:vMerge/>
            <w:tcBorders>
              <w:top w:val="nil"/>
              <w:left w:val="single" w:sz="8" w:space="0" w:color="FFFFFF"/>
              <w:bottom w:val="nil"/>
              <w:right w:val="single" w:sz="8" w:space="0" w:color="FFFFFF"/>
            </w:tcBorders>
            <w:vAlign w:val="center"/>
            <w:hideMark/>
          </w:tcPr>
          <w:p w14:paraId="6232526E" w14:textId="77777777" w:rsidR="008A2A5B" w:rsidRDefault="008A2A5B">
            <w:pPr>
              <w:spacing w:after="0"/>
            </w:pPr>
          </w:p>
        </w:tc>
      </w:tr>
      <w:tr w:rsidR="008A2A5B" w14:paraId="1448081F" w14:textId="77777777" w:rsidTr="008A2A5B">
        <w:trPr>
          <w:trHeight w:val="125"/>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3F01DBB0" w14:textId="77777777" w:rsidR="008A2A5B" w:rsidRDefault="008A2A5B">
            <w:r>
              <w:rPr>
                <w:b/>
                <w:bCs/>
              </w:rPr>
              <w:t>Brain Tumor</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4555B512" w14:textId="77777777" w:rsidR="008A2A5B" w:rsidRDefault="008A2A5B">
            <w:r>
              <w:t>8 (20)</w:t>
            </w:r>
          </w:p>
        </w:tc>
        <w:tc>
          <w:tcPr>
            <w:tcW w:w="1637" w:type="dxa"/>
            <w:tcBorders>
              <w:top w:val="nil"/>
              <w:left w:val="single" w:sz="8" w:space="0" w:color="FFFFFF"/>
              <w:bottom w:val="nil"/>
              <w:right w:val="single" w:sz="8" w:space="0" w:color="FFFFFF"/>
            </w:tcBorders>
            <w:tcMar>
              <w:top w:w="15" w:type="dxa"/>
              <w:left w:w="90" w:type="dxa"/>
              <w:bottom w:w="0" w:type="dxa"/>
              <w:right w:w="90" w:type="dxa"/>
            </w:tcMar>
            <w:hideMark/>
          </w:tcPr>
          <w:p w14:paraId="04104DFB" w14:textId="77777777" w:rsidR="008A2A5B" w:rsidRDefault="008A2A5B">
            <w:r>
              <w:t>4 (50)</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008C52E1" w14:textId="77777777" w:rsidR="008A2A5B" w:rsidRDefault="008A2A5B">
            <w:r>
              <w:t>4 (50)</w:t>
            </w:r>
          </w:p>
        </w:tc>
        <w:tc>
          <w:tcPr>
            <w:tcW w:w="0" w:type="auto"/>
            <w:vMerge/>
            <w:tcBorders>
              <w:top w:val="nil"/>
              <w:left w:val="single" w:sz="8" w:space="0" w:color="FFFFFF"/>
              <w:bottom w:val="nil"/>
              <w:right w:val="single" w:sz="8" w:space="0" w:color="FFFFFF"/>
            </w:tcBorders>
            <w:vAlign w:val="center"/>
            <w:hideMark/>
          </w:tcPr>
          <w:p w14:paraId="22543A29" w14:textId="77777777" w:rsidR="008A2A5B" w:rsidRDefault="008A2A5B">
            <w:pPr>
              <w:spacing w:after="0"/>
            </w:pPr>
          </w:p>
        </w:tc>
      </w:tr>
      <w:tr w:rsidR="008A2A5B" w14:paraId="551EC70B" w14:textId="77777777" w:rsidTr="008A2A5B">
        <w:trPr>
          <w:trHeight w:val="125"/>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2A6C4858" w14:textId="77777777" w:rsidR="008A2A5B" w:rsidRDefault="008A2A5B">
            <w:bookmarkStart w:id="3" w:name="OLE_LINK2"/>
            <w:r>
              <w:rPr>
                <w:b/>
                <w:bCs/>
              </w:rPr>
              <w:t>Idiopathic</w:t>
            </w:r>
            <w:bookmarkEnd w:id="3"/>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17202735" w14:textId="77777777" w:rsidR="008A2A5B" w:rsidRDefault="008A2A5B">
            <w:r>
              <w:t>5 (12.5)</w:t>
            </w:r>
          </w:p>
        </w:tc>
        <w:tc>
          <w:tcPr>
            <w:tcW w:w="1637" w:type="dxa"/>
            <w:tcBorders>
              <w:top w:val="nil"/>
              <w:left w:val="single" w:sz="8" w:space="0" w:color="FFFFFF"/>
              <w:bottom w:val="nil"/>
              <w:right w:val="single" w:sz="8" w:space="0" w:color="FFFFFF"/>
            </w:tcBorders>
            <w:tcMar>
              <w:top w:w="15" w:type="dxa"/>
              <w:left w:w="90" w:type="dxa"/>
              <w:bottom w:w="0" w:type="dxa"/>
              <w:right w:w="90" w:type="dxa"/>
            </w:tcMar>
            <w:hideMark/>
          </w:tcPr>
          <w:p w14:paraId="478CE62C" w14:textId="77777777" w:rsidR="008A2A5B" w:rsidRDefault="008A2A5B">
            <w:r>
              <w:t>2 (40)</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0366F3E0" w14:textId="77777777" w:rsidR="008A2A5B" w:rsidRDefault="008A2A5B">
            <w:r>
              <w:t>3 (60)</w:t>
            </w:r>
          </w:p>
        </w:tc>
        <w:tc>
          <w:tcPr>
            <w:tcW w:w="0" w:type="auto"/>
            <w:vMerge/>
            <w:tcBorders>
              <w:top w:val="nil"/>
              <w:left w:val="single" w:sz="8" w:space="0" w:color="FFFFFF"/>
              <w:bottom w:val="nil"/>
              <w:right w:val="single" w:sz="8" w:space="0" w:color="FFFFFF"/>
            </w:tcBorders>
            <w:vAlign w:val="center"/>
            <w:hideMark/>
          </w:tcPr>
          <w:p w14:paraId="1FA697EB" w14:textId="77777777" w:rsidR="008A2A5B" w:rsidRDefault="008A2A5B">
            <w:pPr>
              <w:spacing w:after="0"/>
            </w:pPr>
          </w:p>
        </w:tc>
      </w:tr>
      <w:tr w:rsidR="008A2A5B" w14:paraId="63A08CC7" w14:textId="77777777" w:rsidTr="008A2A5B">
        <w:trPr>
          <w:trHeight w:val="125"/>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18C6E570" w14:textId="77777777" w:rsidR="008A2A5B" w:rsidRDefault="008A2A5B">
            <w:bookmarkStart w:id="4" w:name="OLE_LINK3"/>
            <w:r>
              <w:rPr>
                <w:b/>
                <w:bCs/>
              </w:rPr>
              <w:t>Trauma</w:t>
            </w:r>
            <w:bookmarkEnd w:id="4"/>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215CB781" w14:textId="77777777" w:rsidR="008A2A5B" w:rsidRDefault="008A2A5B">
            <w:r>
              <w:t>2 (5)</w:t>
            </w:r>
          </w:p>
        </w:tc>
        <w:tc>
          <w:tcPr>
            <w:tcW w:w="1637" w:type="dxa"/>
            <w:tcBorders>
              <w:top w:val="nil"/>
              <w:left w:val="single" w:sz="8" w:space="0" w:color="FFFFFF"/>
              <w:bottom w:val="nil"/>
              <w:right w:val="single" w:sz="8" w:space="0" w:color="FFFFFF"/>
            </w:tcBorders>
            <w:tcMar>
              <w:top w:w="15" w:type="dxa"/>
              <w:left w:w="90" w:type="dxa"/>
              <w:bottom w:w="0" w:type="dxa"/>
              <w:right w:w="90" w:type="dxa"/>
            </w:tcMar>
            <w:hideMark/>
          </w:tcPr>
          <w:p w14:paraId="7CF8A414" w14:textId="77777777" w:rsidR="008A2A5B" w:rsidRDefault="008A2A5B">
            <w:r>
              <w:t>2 (100)</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69BB99C2" w14:textId="77777777" w:rsidR="008A2A5B" w:rsidRDefault="008A2A5B">
            <w:r>
              <w:t>0</w:t>
            </w:r>
          </w:p>
        </w:tc>
        <w:tc>
          <w:tcPr>
            <w:tcW w:w="0" w:type="auto"/>
            <w:vMerge/>
            <w:tcBorders>
              <w:top w:val="nil"/>
              <w:left w:val="single" w:sz="8" w:space="0" w:color="FFFFFF"/>
              <w:bottom w:val="nil"/>
              <w:right w:val="single" w:sz="8" w:space="0" w:color="FFFFFF"/>
            </w:tcBorders>
            <w:vAlign w:val="center"/>
            <w:hideMark/>
          </w:tcPr>
          <w:p w14:paraId="5D06A97A" w14:textId="77777777" w:rsidR="008A2A5B" w:rsidRDefault="008A2A5B">
            <w:pPr>
              <w:spacing w:after="0"/>
            </w:pPr>
          </w:p>
        </w:tc>
      </w:tr>
      <w:tr w:rsidR="008A2A5B" w14:paraId="47B89693" w14:textId="77777777" w:rsidTr="008A2A5B">
        <w:trPr>
          <w:trHeight w:val="254"/>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214597DE" w14:textId="77777777" w:rsidR="008A2A5B" w:rsidRDefault="008A2A5B">
            <w:r>
              <w:rPr>
                <w:b/>
                <w:bCs/>
              </w:rPr>
              <w:t>Congenital disease</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05DFF6DE" w14:textId="77777777" w:rsidR="008A2A5B" w:rsidRDefault="008A2A5B">
            <w:r>
              <w:t>3 (7.5)</w:t>
            </w:r>
          </w:p>
        </w:tc>
        <w:tc>
          <w:tcPr>
            <w:tcW w:w="1637" w:type="dxa"/>
            <w:tcBorders>
              <w:top w:val="nil"/>
              <w:left w:val="single" w:sz="8" w:space="0" w:color="FFFFFF"/>
              <w:bottom w:val="nil"/>
              <w:right w:val="single" w:sz="8" w:space="0" w:color="FFFFFF"/>
            </w:tcBorders>
            <w:tcMar>
              <w:top w:w="15" w:type="dxa"/>
              <w:left w:w="90" w:type="dxa"/>
              <w:bottom w:w="0" w:type="dxa"/>
              <w:right w:w="90" w:type="dxa"/>
            </w:tcMar>
            <w:hideMark/>
          </w:tcPr>
          <w:p w14:paraId="7C0E669B" w14:textId="77777777" w:rsidR="008A2A5B" w:rsidRDefault="008A2A5B">
            <w:r>
              <w:t>0</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4F833ED8" w14:textId="77777777" w:rsidR="008A2A5B" w:rsidRDefault="008A2A5B">
            <w:r>
              <w:t>3 (100)</w:t>
            </w:r>
          </w:p>
        </w:tc>
        <w:tc>
          <w:tcPr>
            <w:tcW w:w="0" w:type="auto"/>
            <w:vMerge/>
            <w:tcBorders>
              <w:top w:val="nil"/>
              <w:left w:val="single" w:sz="8" w:space="0" w:color="FFFFFF"/>
              <w:bottom w:val="nil"/>
              <w:right w:val="single" w:sz="8" w:space="0" w:color="FFFFFF"/>
            </w:tcBorders>
            <w:vAlign w:val="center"/>
            <w:hideMark/>
          </w:tcPr>
          <w:p w14:paraId="790ECC17" w14:textId="77777777" w:rsidR="008A2A5B" w:rsidRDefault="008A2A5B">
            <w:pPr>
              <w:spacing w:after="0"/>
            </w:pPr>
          </w:p>
        </w:tc>
      </w:tr>
      <w:tr w:rsidR="008A2A5B" w14:paraId="2770FA8D" w14:textId="77777777" w:rsidTr="008A2A5B">
        <w:trPr>
          <w:trHeight w:val="254"/>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0F7567F0" w14:textId="77777777" w:rsidR="008A2A5B" w:rsidRDefault="008A2A5B">
            <w:r>
              <w:rPr>
                <w:b/>
                <w:bCs/>
              </w:rPr>
              <w:t>Neutrophil, mean ± SD</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26211032" w14:textId="77777777" w:rsidR="008A2A5B" w:rsidRDefault="008A2A5B">
            <w:r>
              <w:t>88 ± 224.37</w:t>
            </w:r>
          </w:p>
        </w:tc>
        <w:tc>
          <w:tcPr>
            <w:tcW w:w="1637" w:type="dxa"/>
            <w:tcBorders>
              <w:top w:val="nil"/>
              <w:left w:val="single" w:sz="8" w:space="0" w:color="FFFFFF"/>
              <w:bottom w:val="nil"/>
              <w:right w:val="single" w:sz="8" w:space="0" w:color="FFFFFF"/>
            </w:tcBorders>
            <w:tcMar>
              <w:top w:w="15" w:type="dxa"/>
              <w:left w:w="90" w:type="dxa"/>
              <w:bottom w:w="0" w:type="dxa"/>
              <w:right w:w="90" w:type="dxa"/>
            </w:tcMar>
            <w:hideMark/>
          </w:tcPr>
          <w:p w14:paraId="5D7715DE" w14:textId="77777777" w:rsidR="008A2A5B" w:rsidRDefault="008A2A5B">
            <w:r>
              <w:t> 131 ± 305.77</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3C8EDF55" w14:textId="77777777" w:rsidR="008A2A5B" w:rsidRDefault="008A2A5B">
            <w:r>
              <w:t> 45 ± 31.84</w:t>
            </w:r>
          </w:p>
        </w:tc>
        <w:tc>
          <w:tcPr>
            <w:tcW w:w="1236" w:type="dxa"/>
            <w:tcBorders>
              <w:top w:val="nil"/>
              <w:left w:val="single" w:sz="8" w:space="0" w:color="FFFFFF"/>
              <w:bottom w:val="nil"/>
              <w:right w:val="single" w:sz="8" w:space="0" w:color="FFFFFF"/>
            </w:tcBorders>
            <w:tcMar>
              <w:top w:w="15" w:type="dxa"/>
              <w:left w:w="90" w:type="dxa"/>
              <w:bottom w:w="0" w:type="dxa"/>
              <w:right w:w="90" w:type="dxa"/>
            </w:tcMar>
            <w:hideMark/>
          </w:tcPr>
          <w:p w14:paraId="501A991E" w14:textId="77777777" w:rsidR="008A2A5B" w:rsidRDefault="008A2A5B">
            <w:r>
              <w:t>0.196</w:t>
            </w:r>
          </w:p>
        </w:tc>
      </w:tr>
      <w:tr w:rsidR="008A2A5B" w14:paraId="1D112A31" w14:textId="77777777" w:rsidTr="008A2A5B">
        <w:trPr>
          <w:trHeight w:val="254"/>
        </w:trPr>
        <w:tc>
          <w:tcPr>
            <w:tcW w:w="3683" w:type="dxa"/>
            <w:tcBorders>
              <w:top w:val="nil"/>
              <w:left w:val="single" w:sz="8" w:space="0" w:color="FFFFFF"/>
              <w:bottom w:val="nil"/>
              <w:right w:val="single" w:sz="8" w:space="0" w:color="FFFFFF"/>
            </w:tcBorders>
            <w:tcMar>
              <w:top w:w="15" w:type="dxa"/>
              <w:left w:w="90" w:type="dxa"/>
              <w:bottom w:w="0" w:type="dxa"/>
              <w:right w:w="90" w:type="dxa"/>
            </w:tcMar>
            <w:hideMark/>
          </w:tcPr>
          <w:p w14:paraId="3448C738" w14:textId="77777777" w:rsidR="008A2A5B" w:rsidRDefault="008A2A5B">
            <w:r>
              <w:rPr>
                <w:b/>
                <w:bCs/>
              </w:rPr>
              <w:t>Lymphocyte, mean ± SD</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670F7A92" w14:textId="77777777" w:rsidR="008A2A5B" w:rsidRDefault="008A2A5B">
            <w:r>
              <w:t>47.05 ± 226.35</w:t>
            </w:r>
          </w:p>
        </w:tc>
        <w:tc>
          <w:tcPr>
            <w:tcW w:w="1637" w:type="dxa"/>
            <w:tcBorders>
              <w:top w:val="nil"/>
              <w:left w:val="single" w:sz="8" w:space="0" w:color="FFFFFF"/>
              <w:bottom w:val="nil"/>
              <w:right w:val="single" w:sz="8" w:space="0" w:color="FFFFFF"/>
            </w:tcBorders>
            <w:tcMar>
              <w:top w:w="15" w:type="dxa"/>
              <w:left w:w="90" w:type="dxa"/>
              <w:bottom w:w="0" w:type="dxa"/>
              <w:right w:w="90" w:type="dxa"/>
            </w:tcMar>
            <w:hideMark/>
          </w:tcPr>
          <w:p w14:paraId="57DE1AF7" w14:textId="77777777" w:rsidR="008A2A5B" w:rsidRDefault="008A2A5B">
            <w:r>
              <w:t> 82 ± 312</w:t>
            </w:r>
          </w:p>
        </w:tc>
        <w:tc>
          <w:tcPr>
            <w:tcW w:w="1944" w:type="dxa"/>
            <w:tcBorders>
              <w:top w:val="nil"/>
              <w:left w:val="single" w:sz="8" w:space="0" w:color="FFFFFF"/>
              <w:bottom w:val="nil"/>
              <w:right w:val="single" w:sz="8" w:space="0" w:color="FFFFFF"/>
            </w:tcBorders>
            <w:tcMar>
              <w:top w:w="15" w:type="dxa"/>
              <w:left w:w="90" w:type="dxa"/>
              <w:bottom w:w="0" w:type="dxa"/>
              <w:right w:w="90" w:type="dxa"/>
            </w:tcMar>
            <w:hideMark/>
          </w:tcPr>
          <w:p w14:paraId="7EBD4D18" w14:textId="77777777" w:rsidR="008A2A5B" w:rsidRDefault="008A2A5B">
            <w:r>
              <w:t> 13 ± 16.14</w:t>
            </w:r>
          </w:p>
        </w:tc>
        <w:tc>
          <w:tcPr>
            <w:tcW w:w="1236" w:type="dxa"/>
            <w:tcBorders>
              <w:top w:val="nil"/>
              <w:left w:val="single" w:sz="8" w:space="0" w:color="FFFFFF"/>
              <w:bottom w:val="nil"/>
              <w:right w:val="single" w:sz="8" w:space="0" w:color="FFFFFF"/>
            </w:tcBorders>
            <w:tcMar>
              <w:top w:w="15" w:type="dxa"/>
              <w:left w:w="90" w:type="dxa"/>
              <w:bottom w:w="0" w:type="dxa"/>
              <w:right w:w="90" w:type="dxa"/>
            </w:tcMar>
            <w:hideMark/>
          </w:tcPr>
          <w:p w14:paraId="3F4389FB" w14:textId="77777777" w:rsidR="008A2A5B" w:rsidRDefault="008A2A5B">
            <w:r>
              <w:t>0.598</w:t>
            </w:r>
          </w:p>
        </w:tc>
      </w:tr>
      <w:tr w:rsidR="008A2A5B" w14:paraId="0D1A2013" w14:textId="77777777" w:rsidTr="008A2A5B">
        <w:trPr>
          <w:trHeight w:val="125"/>
        </w:trPr>
        <w:tc>
          <w:tcPr>
            <w:tcW w:w="3683" w:type="dxa"/>
            <w:tcBorders>
              <w:top w:val="nil"/>
              <w:left w:val="single" w:sz="8" w:space="0" w:color="FFFFFF"/>
              <w:bottom w:val="single" w:sz="8" w:space="0" w:color="auto"/>
              <w:right w:val="single" w:sz="8" w:space="0" w:color="FFFFFF"/>
            </w:tcBorders>
            <w:tcMar>
              <w:top w:w="15" w:type="dxa"/>
              <w:left w:w="90" w:type="dxa"/>
              <w:bottom w:w="0" w:type="dxa"/>
              <w:right w:w="90" w:type="dxa"/>
            </w:tcMar>
            <w:hideMark/>
          </w:tcPr>
          <w:p w14:paraId="368C62A2" w14:textId="77777777" w:rsidR="008A2A5B" w:rsidRDefault="008A2A5B">
            <w:r>
              <w:rPr>
                <w:b/>
                <w:bCs/>
              </w:rPr>
              <w:t>NLR , mean ± SD</w:t>
            </w:r>
          </w:p>
        </w:tc>
        <w:tc>
          <w:tcPr>
            <w:tcW w:w="1944" w:type="dxa"/>
            <w:tcBorders>
              <w:top w:val="nil"/>
              <w:left w:val="single" w:sz="8" w:space="0" w:color="FFFFFF"/>
              <w:bottom w:val="single" w:sz="8" w:space="0" w:color="auto"/>
              <w:right w:val="single" w:sz="8" w:space="0" w:color="FFFFFF"/>
            </w:tcBorders>
            <w:tcMar>
              <w:top w:w="15" w:type="dxa"/>
              <w:left w:w="90" w:type="dxa"/>
              <w:bottom w:w="0" w:type="dxa"/>
              <w:right w:w="90" w:type="dxa"/>
            </w:tcMar>
            <w:hideMark/>
          </w:tcPr>
          <w:p w14:paraId="42B0A99B" w14:textId="77777777" w:rsidR="008A2A5B" w:rsidRDefault="008A2A5B">
            <w:r>
              <w:t>6.77 ± 5.55</w:t>
            </w:r>
          </w:p>
        </w:tc>
        <w:tc>
          <w:tcPr>
            <w:tcW w:w="1637" w:type="dxa"/>
            <w:tcBorders>
              <w:top w:val="nil"/>
              <w:left w:val="single" w:sz="8" w:space="0" w:color="FFFFFF"/>
              <w:bottom w:val="single" w:sz="8" w:space="0" w:color="auto"/>
              <w:right w:val="single" w:sz="8" w:space="0" w:color="FFFFFF"/>
            </w:tcBorders>
            <w:tcMar>
              <w:top w:w="15" w:type="dxa"/>
              <w:left w:w="90" w:type="dxa"/>
              <w:bottom w:w="0" w:type="dxa"/>
              <w:right w:w="90" w:type="dxa"/>
            </w:tcMar>
            <w:hideMark/>
          </w:tcPr>
          <w:p w14:paraId="0E678776" w14:textId="77777777" w:rsidR="008A2A5B" w:rsidRDefault="008A2A5B">
            <w:r>
              <w:t>8.49 ± 6.53</w:t>
            </w:r>
          </w:p>
        </w:tc>
        <w:tc>
          <w:tcPr>
            <w:tcW w:w="1944" w:type="dxa"/>
            <w:tcBorders>
              <w:top w:val="nil"/>
              <w:left w:val="single" w:sz="8" w:space="0" w:color="FFFFFF"/>
              <w:bottom w:val="single" w:sz="8" w:space="0" w:color="auto"/>
              <w:right w:val="single" w:sz="8" w:space="0" w:color="FFFFFF"/>
            </w:tcBorders>
            <w:tcMar>
              <w:top w:w="15" w:type="dxa"/>
              <w:left w:w="90" w:type="dxa"/>
              <w:bottom w:w="0" w:type="dxa"/>
              <w:right w:w="90" w:type="dxa"/>
            </w:tcMar>
            <w:hideMark/>
          </w:tcPr>
          <w:p w14:paraId="34C47FC7" w14:textId="77777777" w:rsidR="008A2A5B" w:rsidRDefault="008A2A5B">
            <w:r>
              <w:t>5.05 ± 3.78</w:t>
            </w:r>
          </w:p>
        </w:tc>
        <w:tc>
          <w:tcPr>
            <w:tcW w:w="1236" w:type="dxa"/>
            <w:tcBorders>
              <w:top w:val="nil"/>
              <w:left w:val="single" w:sz="8" w:space="0" w:color="FFFFFF"/>
              <w:bottom w:val="single" w:sz="8" w:space="0" w:color="auto"/>
              <w:right w:val="single" w:sz="8" w:space="0" w:color="FFFFFF"/>
            </w:tcBorders>
            <w:tcMar>
              <w:top w:w="15" w:type="dxa"/>
              <w:left w:w="90" w:type="dxa"/>
              <w:bottom w:w="0" w:type="dxa"/>
              <w:right w:w="90" w:type="dxa"/>
            </w:tcMar>
            <w:hideMark/>
          </w:tcPr>
          <w:p w14:paraId="7166BAD3" w14:textId="77777777" w:rsidR="008A2A5B" w:rsidRDefault="008A2A5B">
            <w:r>
              <w:t>0.027</w:t>
            </w:r>
          </w:p>
        </w:tc>
      </w:tr>
    </w:tbl>
    <w:p w14:paraId="3E4D3046" w14:textId="77777777" w:rsidR="008A2A5B" w:rsidRDefault="008A2A5B" w:rsidP="008A2A5B">
      <w:pPr>
        <w:rPr>
          <w:sz w:val="20"/>
          <w:szCs w:val="20"/>
        </w:rPr>
      </w:pPr>
      <w:r>
        <w:rPr>
          <w:sz w:val="20"/>
          <w:szCs w:val="20"/>
        </w:rPr>
        <w:t>n, sample size; SD, standard deviation; NLR, neutrophil-to-lymphocyte ratio</w:t>
      </w:r>
    </w:p>
    <w:p w14:paraId="3241D030" w14:textId="77777777" w:rsidR="008A2A5B" w:rsidRDefault="008A2A5B" w:rsidP="008A2A5B"/>
    <w:p w14:paraId="21DC845A" w14:textId="77777777" w:rsidR="008A2A5B" w:rsidRDefault="008A2A5B" w:rsidP="008A2A5B"/>
    <w:p w14:paraId="23CE2C0A" w14:textId="77777777" w:rsidR="008A2A5B" w:rsidRDefault="008A2A5B" w:rsidP="008A2A5B"/>
    <w:p w14:paraId="377C5014" w14:textId="77777777" w:rsidR="008A2A5B" w:rsidRDefault="008A2A5B" w:rsidP="008A2A5B"/>
    <w:p w14:paraId="3718DDF1" w14:textId="77777777" w:rsidR="008A2A5B" w:rsidRDefault="008A2A5B" w:rsidP="008A2A5B"/>
    <w:p w14:paraId="500735C0" w14:textId="77777777" w:rsidR="008A2A5B" w:rsidRDefault="008A2A5B" w:rsidP="008A2A5B"/>
    <w:p w14:paraId="3FA5E05D" w14:textId="77777777" w:rsidR="008A2A5B" w:rsidRDefault="008A2A5B" w:rsidP="008A2A5B"/>
    <w:p w14:paraId="599D32EA" w14:textId="77777777" w:rsidR="008A2A5B" w:rsidRDefault="008A2A5B" w:rsidP="008A2A5B"/>
    <w:tbl>
      <w:tblPr>
        <w:tblpPr w:leftFromText="180" w:rightFromText="180" w:bottomFromText="160" w:vertAnchor="text" w:horzAnchor="margin" w:tblpXSpec="center" w:tblpY="-974"/>
        <w:tblW w:w="11332" w:type="dxa"/>
        <w:tblCellMar>
          <w:left w:w="0" w:type="dxa"/>
          <w:right w:w="0" w:type="dxa"/>
        </w:tblCellMar>
        <w:tblLook w:val="04A0" w:firstRow="1" w:lastRow="0" w:firstColumn="1" w:lastColumn="0" w:noHBand="0" w:noVBand="1"/>
      </w:tblPr>
      <w:tblGrid>
        <w:gridCol w:w="1635"/>
        <w:gridCol w:w="2621"/>
        <w:gridCol w:w="1775"/>
        <w:gridCol w:w="2434"/>
        <w:gridCol w:w="1086"/>
        <w:gridCol w:w="1781"/>
      </w:tblGrid>
      <w:tr w:rsidR="008A2A5B" w14:paraId="5270A5F1" w14:textId="77777777" w:rsidTr="008A2A5B">
        <w:trPr>
          <w:trHeight w:val="343"/>
        </w:trPr>
        <w:tc>
          <w:tcPr>
            <w:tcW w:w="11332" w:type="dxa"/>
            <w:gridSpan w:val="6"/>
            <w:tcBorders>
              <w:top w:val="nil"/>
              <w:left w:val="nil"/>
              <w:bottom w:val="single" w:sz="4" w:space="0" w:color="auto"/>
              <w:right w:val="nil"/>
            </w:tcBorders>
            <w:tcMar>
              <w:top w:w="15" w:type="dxa"/>
              <w:left w:w="108" w:type="dxa"/>
              <w:bottom w:w="0" w:type="dxa"/>
              <w:right w:w="108" w:type="dxa"/>
            </w:tcMar>
            <w:hideMark/>
          </w:tcPr>
          <w:p w14:paraId="7EB720C2" w14:textId="77777777" w:rsidR="008A2A5B" w:rsidRDefault="008A2A5B">
            <w:pPr>
              <w:spacing w:after="0" w:line="240" w:lineRule="auto"/>
              <w:rPr>
                <w:rFonts w:asciiTheme="majorBidi" w:hAnsiTheme="majorBidi" w:cstheme="majorBidi"/>
              </w:rPr>
            </w:pPr>
            <w:r>
              <w:rPr>
                <w:rFonts w:ascii="Times New Roman" w:eastAsia="Times New Roman" w:hAnsi="Times New Roman" w:cs="B Nazanin"/>
              </w:rPr>
              <w:t xml:space="preserve">Table 2. </w:t>
            </w:r>
            <w:r>
              <w:rPr>
                <w:rFonts w:asciiTheme="majorBidi" w:hAnsiTheme="majorBidi" w:cstheme="majorBidi"/>
              </w:rPr>
              <w:t>Multivariate correlation analysis of predictors associated with NLR in Hydrocephalus patients</w:t>
            </w:r>
            <w:r>
              <w:rPr>
                <w:rFonts w:ascii="Times New Roman" w:eastAsia="Times New Roman" w:hAnsi="Times New Roman" w:cs="B Nazanin"/>
              </w:rPr>
              <w:t xml:space="preserve"> treated with EVD</w:t>
            </w:r>
          </w:p>
        </w:tc>
      </w:tr>
      <w:tr w:rsidR="008A2A5B" w14:paraId="2B8B0726" w14:textId="77777777" w:rsidTr="008A2A5B">
        <w:trPr>
          <w:trHeight w:val="343"/>
        </w:trPr>
        <w:tc>
          <w:tcPr>
            <w:tcW w:w="1635" w:type="dxa"/>
            <w:tcBorders>
              <w:top w:val="single" w:sz="4" w:space="0" w:color="auto"/>
              <w:left w:val="single" w:sz="8" w:space="0" w:color="FFFFFF"/>
              <w:bottom w:val="single" w:sz="8" w:space="0" w:color="000000" w:themeColor="text1"/>
              <w:right w:val="single" w:sz="8" w:space="0" w:color="FFFFFF"/>
            </w:tcBorders>
            <w:tcMar>
              <w:top w:w="15" w:type="dxa"/>
              <w:left w:w="108" w:type="dxa"/>
              <w:bottom w:w="0" w:type="dxa"/>
              <w:right w:w="108" w:type="dxa"/>
            </w:tcMar>
            <w:hideMark/>
          </w:tcPr>
          <w:p w14:paraId="469AE4F1" w14:textId="77777777" w:rsidR="008A2A5B" w:rsidRDefault="008A2A5B">
            <w:pPr>
              <w:spacing w:after="0" w:line="240" w:lineRule="auto"/>
            </w:pPr>
            <w:r>
              <w:rPr>
                <w:b/>
                <w:bCs/>
              </w:rPr>
              <w:t> Variables</w:t>
            </w:r>
          </w:p>
        </w:tc>
        <w:tc>
          <w:tcPr>
            <w:tcW w:w="2621" w:type="dxa"/>
            <w:tcBorders>
              <w:top w:val="single" w:sz="4" w:space="0" w:color="auto"/>
              <w:left w:val="single" w:sz="8" w:space="0" w:color="FFFFFF"/>
              <w:bottom w:val="single" w:sz="8" w:space="0" w:color="000000" w:themeColor="text1"/>
              <w:right w:val="single" w:sz="8" w:space="0" w:color="FFFFFF"/>
            </w:tcBorders>
            <w:tcMar>
              <w:top w:w="15" w:type="dxa"/>
              <w:left w:w="108" w:type="dxa"/>
              <w:bottom w:w="0" w:type="dxa"/>
              <w:right w:w="108" w:type="dxa"/>
            </w:tcMar>
            <w:hideMark/>
          </w:tcPr>
          <w:p w14:paraId="3F4DDBF3" w14:textId="77777777" w:rsidR="008A2A5B" w:rsidRDefault="008A2A5B">
            <w:pPr>
              <w:spacing w:after="0" w:line="240" w:lineRule="auto"/>
            </w:pPr>
            <w:r>
              <w:rPr>
                <w:b/>
                <w:bCs/>
              </w:rPr>
              <w:t>Difference between areas </w:t>
            </w:r>
          </w:p>
          <w:p w14:paraId="28FBD06C" w14:textId="77777777" w:rsidR="008A2A5B" w:rsidRDefault="008A2A5B">
            <w:pPr>
              <w:spacing w:after="0" w:line="240" w:lineRule="auto"/>
            </w:pPr>
            <w:r>
              <w:rPr>
                <w:b/>
                <w:bCs/>
              </w:rPr>
              <w:t> </w:t>
            </w:r>
          </w:p>
        </w:tc>
        <w:tc>
          <w:tcPr>
            <w:tcW w:w="1775" w:type="dxa"/>
            <w:tcBorders>
              <w:top w:val="single" w:sz="4" w:space="0" w:color="auto"/>
              <w:left w:val="single" w:sz="8" w:space="0" w:color="FFFFFF"/>
              <w:bottom w:val="single" w:sz="8" w:space="0" w:color="000000" w:themeColor="text1"/>
              <w:right w:val="single" w:sz="8" w:space="0" w:color="FFFFFF"/>
            </w:tcBorders>
            <w:tcMar>
              <w:top w:w="15" w:type="dxa"/>
              <w:left w:w="108" w:type="dxa"/>
              <w:bottom w:w="0" w:type="dxa"/>
              <w:right w:w="108" w:type="dxa"/>
            </w:tcMar>
            <w:hideMark/>
          </w:tcPr>
          <w:p w14:paraId="5F777C39" w14:textId="77777777" w:rsidR="008A2A5B" w:rsidRDefault="008A2A5B">
            <w:pPr>
              <w:spacing w:after="0" w:line="240" w:lineRule="auto"/>
            </w:pPr>
            <w:r>
              <w:rPr>
                <w:b/>
                <w:bCs/>
              </w:rPr>
              <w:t>Standard Error</w:t>
            </w:r>
          </w:p>
        </w:tc>
        <w:tc>
          <w:tcPr>
            <w:tcW w:w="2434" w:type="dxa"/>
            <w:tcBorders>
              <w:top w:val="single" w:sz="4" w:space="0" w:color="auto"/>
              <w:left w:val="single" w:sz="8" w:space="0" w:color="FFFFFF"/>
              <w:bottom w:val="single" w:sz="8" w:space="0" w:color="000000" w:themeColor="text1"/>
              <w:right w:val="single" w:sz="8" w:space="0" w:color="FFFFFF"/>
            </w:tcBorders>
            <w:tcMar>
              <w:top w:w="15" w:type="dxa"/>
              <w:left w:w="108" w:type="dxa"/>
              <w:bottom w:w="0" w:type="dxa"/>
              <w:right w:w="108" w:type="dxa"/>
            </w:tcMar>
            <w:hideMark/>
          </w:tcPr>
          <w:p w14:paraId="05E5915E" w14:textId="77777777" w:rsidR="008A2A5B" w:rsidRDefault="008A2A5B">
            <w:pPr>
              <w:spacing w:after="0" w:line="240" w:lineRule="auto"/>
            </w:pPr>
            <w:r>
              <w:rPr>
                <w:b/>
                <w:bCs/>
              </w:rPr>
              <w:t>95% Confidence Interval</w:t>
            </w:r>
          </w:p>
        </w:tc>
        <w:tc>
          <w:tcPr>
            <w:tcW w:w="1086" w:type="dxa"/>
            <w:tcBorders>
              <w:top w:val="single" w:sz="4" w:space="0" w:color="auto"/>
              <w:left w:val="single" w:sz="8" w:space="0" w:color="FFFFFF"/>
              <w:bottom w:val="single" w:sz="8" w:space="0" w:color="000000" w:themeColor="text1"/>
              <w:right w:val="single" w:sz="8" w:space="0" w:color="FFFFFF"/>
            </w:tcBorders>
            <w:tcMar>
              <w:top w:w="15" w:type="dxa"/>
              <w:left w:w="108" w:type="dxa"/>
              <w:bottom w:w="0" w:type="dxa"/>
              <w:right w:w="108" w:type="dxa"/>
            </w:tcMar>
            <w:hideMark/>
          </w:tcPr>
          <w:p w14:paraId="530683E3" w14:textId="77777777" w:rsidR="008A2A5B" w:rsidRDefault="008A2A5B">
            <w:pPr>
              <w:spacing w:after="0" w:line="240" w:lineRule="auto"/>
            </w:pPr>
            <w:r>
              <w:rPr>
                <w:b/>
                <w:bCs/>
              </w:rPr>
              <w:t>z statistic</w:t>
            </w:r>
          </w:p>
        </w:tc>
        <w:tc>
          <w:tcPr>
            <w:tcW w:w="1781" w:type="dxa"/>
            <w:tcBorders>
              <w:top w:val="single" w:sz="4" w:space="0" w:color="auto"/>
              <w:left w:val="single" w:sz="8" w:space="0" w:color="FFFFFF"/>
              <w:bottom w:val="single" w:sz="8" w:space="0" w:color="000000" w:themeColor="text1"/>
              <w:right w:val="single" w:sz="8" w:space="0" w:color="FFFFFF"/>
            </w:tcBorders>
            <w:tcMar>
              <w:top w:w="15" w:type="dxa"/>
              <w:left w:w="108" w:type="dxa"/>
              <w:bottom w:w="0" w:type="dxa"/>
              <w:right w:w="108" w:type="dxa"/>
            </w:tcMar>
            <w:hideMark/>
          </w:tcPr>
          <w:p w14:paraId="3BFE72E8" w14:textId="77777777" w:rsidR="008A2A5B" w:rsidRDefault="008A2A5B">
            <w:pPr>
              <w:spacing w:after="0" w:line="240" w:lineRule="auto"/>
            </w:pPr>
            <w:r>
              <w:rPr>
                <w:b/>
                <w:bCs/>
              </w:rPr>
              <w:t>Significance level</w:t>
            </w:r>
          </w:p>
        </w:tc>
      </w:tr>
      <w:tr w:rsidR="008A2A5B" w14:paraId="0A8DA0F4" w14:textId="77777777" w:rsidTr="008A2A5B">
        <w:trPr>
          <w:trHeight w:val="324"/>
        </w:trPr>
        <w:tc>
          <w:tcPr>
            <w:tcW w:w="1635" w:type="dxa"/>
            <w:tcBorders>
              <w:top w:val="single" w:sz="8" w:space="0" w:color="000000" w:themeColor="text1"/>
              <w:left w:val="single" w:sz="8" w:space="0" w:color="FFFFFF"/>
              <w:bottom w:val="single" w:sz="8" w:space="0" w:color="FFFFFF"/>
              <w:right w:val="single" w:sz="8" w:space="0" w:color="FFFFFF"/>
            </w:tcBorders>
            <w:tcMar>
              <w:top w:w="15" w:type="dxa"/>
              <w:left w:w="108" w:type="dxa"/>
              <w:bottom w:w="0" w:type="dxa"/>
              <w:right w:w="108" w:type="dxa"/>
            </w:tcMar>
            <w:hideMark/>
          </w:tcPr>
          <w:p w14:paraId="0F9E009E" w14:textId="77777777" w:rsidR="008A2A5B" w:rsidRDefault="008A2A5B">
            <w:pPr>
              <w:spacing w:after="0" w:line="240" w:lineRule="auto"/>
            </w:pPr>
            <w:r>
              <w:t>Underlying disease ~ NLR</w:t>
            </w:r>
          </w:p>
        </w:tc>
        <w:tc>
          <w:tcPr>
            <w:tcW w:w="2621" w:type="dxa"/>
            <w:tcBorders>
              <w:top w:val="single" w:sz="8" w:space="0" w:color="000000" w:themeColor="text1"/>
              <w:left w:val="single" w:sz="8" w:space="0" w:color="FFFFFF"/>
              <w:bottom w:val="single" w:sz="8" w:space="0" w:color="FFFFFF"/>
              <w:right w:val="single" w:sz="8" w:space="0" w:color="FFFFFF"/>
            </w:tcBorders>
            <w:tcMar>
              <w:top w:w="15" w:type="dxa"/>
              <w:left w:w="108" w:type="dxa"/>
              <w:bottom w:w="0" w:type="dxa"/>
              <w:right w:w="108" w:type="dxa"/>
            </w:tcMar>
            <w:hideMark/>
          </w:tcPr>
          <w:p w14:paraId="3B8A6FA3" w14:textId="77777777" w:rsidR="008A2A5B" w:rsidRDefault="008A2A5B">
            <w:pPr>
              <w:spacing w:after="0" w:line="240" w:lineRule="auto"/>
              <w:jc w:val="center"/>
            </w:pPr>
            <w:r>
              <w:t>0.0525</w:t>
            </w:r>
          </w:p>
        </w:tc>
        <w:tc>
          <w:tcPr>
            <w:tcW w:w="1775" w:type="dxa"/>
            <w:tcBorders>
              <w:top w:val="single" w:sz="8" w:space="0" w:color="000000" w:themeColor="text1"/>
              <w:left w:val="single" w:sz="8" w:space="0" w:color="FFFFFF"/>
              <w:bottom w:val="single" w:sz="8" w:space="0" w:color="FFFFFF"/>
              <w:right w:val="single" w:sz="8" w:space="0" w:color="FFFFFF"/>
            </w:tcBorders>
            <w:tcMar>
              <w:top w:w="15" w:type="dxa"/>
              <w:left w:w="108" w:type="dxa"/>
              <w:bottom w:w="0" w:type="dxa"/>
              <w:right w:w="108" w:type="dxa"/>
            </w:tcMar>
            <w:hideMark/>
          </w:tcPr>
          <w:p w14:paraId="48E98992" w14:textId="77777777" w:rsidR="008A2A5B" w:rsidRDefault="008A2A5B">
            <w:pPr>
              <w:spacing w:after="0" w:line="240" w:lineRule="auto"/>
              <w:jc w:val="center"/>
            </w:pPr>
            <w:r>
              <w:t>0.106</w:t>
            </w:r>
          </w:p>
        </w:tc>
        <w:tc>
          <w:tcPr>
            <w:tcW w:w="2434" w:type="dxa"/>
            <w:tcBorders>
              <w:top w:val="single" w:sz="8" w:space="0" w:color="000000" w:themeColor="text1"/>
              <w:left w:val="single" w:sz="8" w:space="0" w:color="FFFFFF"/>
              <w:bottom w:val="single" w:sz="8" w:space="0" w:color="FFFFFF"/>
              <w:right w:val="single" w:sz="8" w:space="0" w:color="FFFFFF"/>
            </w:tcBorders>
            <w:tcMar>
              <w:top w:w="15" w:type="dxa"/>
              <w:left w:w="108" w:type="dxa"/>
              <w:bottom w:w="0" w:type="dxa"/>
              <w:right w:w="108" w:type="dxa"/>
            </w:tcMar>
            <w:hideMark/>
          </w:tcPr>
          <w:p w14:paraId="424F7936" w14:textId="77777777" w:rsidR="008A2A5B" w:rsidRDefault="008A2A5B">
            <w:pPr>
              <w:spacing w:after="0" w:line="240" w:lineRule="auto"/>
              <w:jc w:val="center"/>
            </w:pPr>
            <w:r>
              <w:t>-0.156 to 0.261</w:t>
            </w:r>
          </w:p>
        </w:tc>
        <w:tc>
          <w:tcPr>
            <w:tcW w:w="1086" w:type="dxa"/>
            <w:tcBorders>
              <w:top w:val="single" w:sz="8" w:space="0" w:color="000000" w:themeColor="text1"/>
              <w:left w:val="single" w:sz="8" w:space="0" w:color="FFFFFF"/>
              <w:bottom w:val="single" w:sz="8" w:space="0" w:color="FFFFFF"/>
              <w:right w:val="single" w:sz="8" w:space="0" w:color="FFFFFF"/>
            </w:tcBorders>
            <w:tcMar>
              <w:top w:w="15" w:type="dxa"/>
              <w:left w:w="108" w:type="dxa"/>
              <w:bottom w:w="0" w:type="dxa"/>
              <w:right w:w="108" w:type="dxa"/>
            </w:tcMar>
            <w:hideMark/>
          </w:tcPr>
          <w:p w14:paraId="7DE9D7EB" w14:textId="77777777" w:rsidR="008A2A5B" w:rsidRDefault="008A2A5B">
            <w:pPr>
              <w:spacing w:after="0" w:line="240" w:lineRule="auto"/>
              <w:jc w:val="center"/>
            </w:pPr>
            <w:r>
              <w:t>0.493</w:t>
            </w:r>
          </w:p>
        </w:tc>
        <w:tc>
          <w:tcPr>
            <w:tcW w:w="1781" w:type="dxa"/>
            <w:tcBorders>
              <w:top w:val="single" w:sz="8" w:space="0" w:color="000000" w:themeColor="text1"/>
              <w:left w:val="single" w:sz="8" w:space="0" w:color="FFFFFF"/>
              <w:bottom w:val="single" w:sz="8" w:space="0" w:color="FFFFFF"/>
              <w:right w:val="single" w:sz="8" w:space="0" w:color="FFFFFF"/>
            </w:tcBorders>
            <w:tcMar>
              <w:top w:w="15" w:type="dxa"/>
              <w:left w:w="108" w:type="dxa"/>
              <w:bottom w:w="0" w:type="dxa"/>
              <w:right w:w="108" w:type="dxa"/>
            </w:tcMar>
            <w:hideMark/>
          </w:tcPr>
          <w:p w14:paraId="0F0D4145" w14:textId="77777777" w:rsidR="008A2A5B" w:rsidRDefault="008A2A5B">
            <w:pPr>
              <w:spacing w:after="0" w:line="240" w:lineRule="auto"/>
              <w:jc w:val="center"/>
            </w:pPr>
            <w:r>
              <w:t>0.6218</w:t>
            </w:r>
          </w:p>
        </w:tc>
      </w:tr>
      <w:tr w:rsidR="008A2A5B" w14:paraId="6E713360" w14:textId="77777777" w:rsidTr="008A2A5B">
        <w:trPr>
          <w:trHeight w:val="324"/>
        </w:trPr>
        <w:tc>
          <w:tcPr>
            <w:tcW w:w="1635"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76645C8C" w14:textId="77777777" w:rsidR="008A2A5B" w:rsidRDefault="008A2A5B">
            <w:pPr>
              <w:spacing w:after="0" w:line="240" w:lineRule="auto"/>
            </w:pPr>
            <w:bookmarkStart w:id="5" w:name="OLE_LINK4"/>
            <w:r>
              <w:t xml:space="preserve">Level of consciousness </w:t>
            </w:r>
            <w:bookmarkEnd w:id="5"/>
            <w:r>
              <w:t>~ NLR</w:t>
            </w:r>
          </w:p>
        </w:tc>
        <w:tc>
          <w:tcPr>
            <w:tcW w:w="2621"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033F51A3" w14:textId="77777777" w:rsidR="008A2A5B" w:rsidRDefault="008A2A5B">
            <w:pPr>
              <w:spacing w:after="0" w:line="240" w:lineRule="auto"/>
              <w:jc w:val="center"/>
            </w:pPr>
            <w:r>
              <w:t>0.244</w:t>
            </w:r>
          </w:p>
        </w:tc>
        <w:tc>
          <w:tcPr>
            <w:tcW w:w="1775"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2F2B878C" w14:textId="77777777" w:rsidR="008A2A5B" w:rsidRDefault="008A2A5B">
            <w:pPr>
              <w:spacing w:after="0" w:line="240" w:lineRule="auto"/>
              <w:jc w:val="center"/>
            </w:pPr>
            <w:r>
              <w:t>0.0855</w:t>
            </w:r>
          </w:p>
        </w:tc>
        <w:tc>
          <w:tcPr>
            <w:tcW w:w="2434"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33FBDB95" w14:textId="77777777" w:rsidR="008A2A5B" w:rsidRDefault="008A2A5B">
            <w:pPr>
              <w:spacing w:after="0" w:line="240" w:lineRule="auto"/>
              <w:jc w:val="center"/>
            </w:pPr>
            <w:r>
              <w:t>0.0761 to 0.411</w:t>
            </w:r>
          </w:p>
        </w:tc>
        <w:tc>
          <w:tcPr>
            <w:tcW w:w="1086"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6023A5D0" w14:textId="77777777" w:rsidR="008A2A5B" w:rsidRDefault="008A2A5B">
            <w:pPr>
              <w:spacing w:after="0" w:line="240" w:lineRule="auto"/>
              <w:jc w:val="center"/>
            </w:pPr>
            <w:r>
              <w:t>2.850</w:t>
            </w:r>
          </w:p>
        </w:tc>
        <w:tc>
          <w:tcPr>
            <w:tcW w:w="1781"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529D0FBA" w14:textId="77777777" w:rsidR="008A2A5B" w:rsidRDefault="008A2A5B">
            <w:pPr>
              <w:spacing w:after="0" w:line="240" w:lineRule="auto"/>
              <w:jc w:val="center"/>
            </w:pPr>
            <w:r>
              <w:t>0.0044</w:t>
            </w:r>
          </w:p>
        </w:tc>
      </w:tr>
      <w:tr w:rsidR="008A2A5B" w14:paraId="68854DC6" w14:textId="77777777" w:rsidTr="008A2A5B">
        <w:trPr>
          <w:trHeight w:val="343"/>
        </w:trPr>
        <w:tc>
          <w:tcPr>
            <w:tcW w:w="1635" w:type="dxa"/>
            <w:tcBorders>
              <w:top w:val="single" w:sz="8" w:space="0" w:color="FFFFFF"/>
              <w:left w:val="single" w:sz="8" w:space="0" w:color="FFFFFF"/>
              <w:bottom w:val="single" w:sz="8" w:space="0" w:color="000000" w:themeColor="text1"/>
              <w:right w:val="single" w:sz="8" w:space="0" w:color="FFFFFF"/>
            </w:tcBorders>
            <w:tcMar>
              <w:top w:w="15" w:type="dxa"/>
              <w:left w:w="108" w:type="dxa"/>
              <w:bottom w:w="0" w:type="dxa"/>
              <w:right w:w="108" w:type="dxa"/>
            </w:tcMar>
            <w:hideMark/>
          </w:tcPr>
          <w:p w14:paraId="07CCDDCB" w14:textId="77777777" w:rsidR="008A2A5B" w:rsidRDefault="008A2A5B">
            <w:pPr>
              <w:spacing w:after="0" w:line="240" w:lineRule="auto"/>
            </w:pPr>
            <w:r>
              <w:t>Age ~ NLR</w:t>
            </w:r>
          </w:p>
        </w:tc>
        <w:tc>
          <w:tcPr>
            <w:tcW w:w="2621" w:type="dxa"/>
            <w:tcBorders>
              <w:top w:val="single" w:sz="8" w:space="0" w:color="FFFFFF"/>
              <w:left w:val="single" w:sz="8" w:space="0" w:color="FFFFFF"/>
              <w:bottom w:val="single" w:sz="8" w:space="0" w:color="000000" w:themeColor="text1"/>
              <w:right w:val="single" w:sz="8" w:space="0" w:color="FFFFFF"/>
            </w:tcBorders>
            <w:tcMar>
              <w:top w:w="15" w:type="dxa"/>
              <w:left w:w="108" w:type="dxa"/>
              <w:bottom w:w="0" w:type="dxa"/>
              <w:right w:w="108" w:type="dxa"/>
            </w:tcMar>
            <w:hideMark/>
          </w:tcPr>
          <w:p w14:paraId="59656838" w14:textId="77777777" w:rsidR="008A2A5B" w:rsidRDefault="008A2A5B">
            <w:pPr>
              <w:spacing w:after="0" w:line="240" w:lineRule="auto"/>
              <w:jc w:val="center"/>
            </w:pPr>
            <w:r>
              <w:t>0.0288</w:t>
            </w:r>
          </w:p>
        </w:tc>
        <w:tc>
          <w:tcPr>
            <w:tcW w:w="1775" w:type="dxa"/>
            <w:tcBorders>
              <w:top w:val="single" w:sz="8" w:space="0" w:color="FFFFFF"/>
              <w:left w:val="single" w:sz="8" w:space="0" w:color="FFFFFF"/>
              <w:bottom w:val="single" w:sz="8" w:space="0" w:color="000000" w:themeColor="text1"/>
              <w:right w:val="single" w:sz="8" w:space="0" w:color="FFFFFF"/>
            </w:tcBorders>
            <w:tcMar>
              <w:top w:w="15" w:type="dxa"/>
              <w:left w:w="108" w:type="dxa"/>
              <w:bottom w:w="0" w:type="dxa"/>
              <w:right w:w="108" w:type="dxa"/>
            </w:tcMar>
            <w:hideMark/>
          </w:tcPr>
          <w:p w14:paraId="225C2462" w14:textId="77777777" w:rsidR="008A2A5B" w:rsidRDefault="008A2A5B">
            <w:pPr>
              <w:spacing w:after="0" w:line="240" w:lineRule="auto"/>
              <w:jc w:val="center"/>
            </w:pPr>
            <w:r>
              <w:t>0.123</w:t>
            </w:r>
          </w:p>
        </w:tc>
        <w:tc>
          <w:tcPr>
            <w:tcW w:w="2434" w:type="dxa"/>
            <w:tcBorders>
              <w:top w:val="single" w:sz="8" w:space="0" w:color="FFFFFF"/>
              <w:left w:val="single" w:sz="8" w:space="0" w:color="FFFFFF"/>
              <w:bottom w:val="single" w:sz="8" w:space="0" w:color="000000" w:themeColor="text1"/>
              <w:right w:val="single" w:sz="8" w:space="0" w:color="FFFFFF"/>
            </w:tcBorders>
            <w:tcMar>
              <w:top w:w="15" w:type="dxa"/>
              <w:left w:w="108" w:type="dxa"/>
              <w:bottom w:w="0" w:type="dxa"/>
              <w:right w:w="108" w:type="dxa"/>
            </w:tcMar>
            <w:hideMark/>
          </w:tcPr>
          <w:p w14:paraId="43EC76A1" w14:textId="77777777" w:rsidR="008A2A5B" w:rsidRDefault="008A2A5B">
            <w:pPr>
              <w:spacing w:after="0" w:line="240" w:lineRule="auto"/>
              <w:jc w:val="center"/>
            </w:pPr>
            <w:r>
              <w:t>-0.212 to 0.270</w:t>
            </w:r>
          </w:p>
        </w:tc>
        <w:tc>
          <w:tcPr>
            <w:tcW w:w="1086" w:type="dxa"/>
            <w:tcBorders>
              <w:top w:val="single" w:sz="8" w:space="0" w:color="FFFFFF"/>
              <w:left w:val="single" w:sz="8" w:space="0" w:color="FFFFFF"/>
              <w:bottom w:val="single" w:sz="8" w:space="0" w:color="000000" w:themeColor="text1"/>
              <w:right w:val="single" w:sz="8" w:space="0" w:color="FFFFFF"/>
            </w:tcBorders>
            <w:tcMar>
              <w:top w:w="15" w:type="dxa"/>
              <w:left w:w="108" w:type="dxa"/>
              <w:bottom w:w="0" w:type="dxa"/>
              <w:right w:w="108" w:type="dxa"/>
            </w:tcMar>
            <w:hideMark/>
          </w:tcPr>
          <w:p w14:paraId="618FCCB6" w14:textId="77777777" w:rsidR="008A2A5B" w:rsidRDefault="008A2A5B">
            <w:pPr>
              <w:spacing w:after="0" w:line="240" w:lineRule="auto"/>
              <w:jc w:val="center"/>
            </w:pPr>
            <w:r>
              <w:t>0.234</w:t>
            </w:r>
          </w:p>
        </w:tc>
        <w:tc>
          <w:tcPr>
            <w:tcW w:w="1781" w:type="dxa"/>
            <w:tcBorders>
              <w:top w:val="single" w:sz="8" w:space="0" w:color="FFFFFF"/>
              <w:left w:val="single" w:sz="8" w:space="0" w:color="FFFFFF"/>
              <w:bottom w:val="single" w:sz="8" w:space="0" w:color="000000" w:themeColor="text1"/>
              <w:right w:val="single" w:sz="8" w:space="0" w:color="FFFFFF"/>
            </w:tcBorders>
            <w:tcMar>
              <w:top w:w="15" w:type="dxa"/>
              <w:left w:w="108" w:type="dxa"/>
              <w:bottom w:w="0" w:type="dxa"/>
              <w:right w:w="108" w:type="dxa"/>
            </w:tcMar>
            <w:hideMark/>
          </w:tcPr>
          <w:p w14:paraId="64AD543B" w14:textId="77777777" w:rsidR="008A2A5B" w:rsidRDefault="008A2A5B">
            <w:pPr>
              <w:spacing w:after="0" w:line="240" w:lineRule="auto"/>
              <w:jc w:val="center"/>
            </w:pPr>
            <w:r>
              <w:t>0.8151</w:t>
            </w:r>
          </w:p>
        </w:tc>
      </w:tr>
    </w:tbl>
    <w:p w14:paraId="5D0585CF" w14:textId="77777777" w:rsidR="008A2A5B" w:rsidRDefault="008A2A5B" w:rsidP="008A2A5B"/>
    <w:p w14:paraId="37EB5115" w14:textId="77777777" w:rsidR="008A2A5B" w:rsidRDefault="008A2A5B" w:rsidP="008A2A5B"/>
    <w:p w14:paraId="59926845" w14:textId="77777777" w:rsidR="008A2A5B" w:rsidRDefault="008A2A5B" w:rsidP="008A2A5B"/>
    <w:tbl>
      <w:tblPr>
        <w:tblStyle w:val="TableGrid"/>
        <w:tblpPr w:leftFromText="180" w:rightFromText="180" w:vertAnchor="text" w:horzAnchor="margin" w:tblpXSpec="center" w:tblpY="566"/>
        <w:tblW w:w="10172"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2542"/>
        <w:gridCol w:w="2544"/>
        <w:gridCol w:w="2544"/>
      </w:tblGrid>
      <w:tr w:rsidR="008A2A5B" w14:paraId="6A012537" w14:textId="77777777" w:rsidTr="008A2A5B">
        <w:trPr>
          <w:trHeight w:val="503"/>
        </w:trPr>
        <w:tc>
          <w:tcPr>
            <w:tcW w:w="10172" w:type="dxa"/>
            <w:gridSpan w:val="4"/>
            <w:tcBorders>
              <w:top w:val="nil"/>
              <w:left w:val="nil"/>
              <w:bottom w:val="single" w:sz="4" w:space="0" w:color="auto"/>
              <w:right w:val="nil"/>
            </w:tcBorders>
            <w:vAlign w:val="center"/>
            <w:hideMark/>
          </w:tcPr>
          <w:p w14:paraId="60B71082" w14:textId="77777777" w:rsidR="008A2A5B" w:rsidRDefault="008A2A5B">
            <w:pPr>
              <w:rPr>
                <w:rFonts w:ascii="Times New Roman" w:eastAsia="Times New Roman" w:hAnsi="Times New Roman" w:cs="B Nazanin"/>
              </w:rPr>
            </w:pPr>
            <w:r>
              <w:rPr>
                <w:rFonts w:ascii="Times New Roman" w:eastAsia="Times New Roman" w:hAnsi="Times New Roman" w:cs="B Nazanin"/>
              </w:rPr>
              <w:t>Table 3. Multivariate logistic regression analysis including factors associated with mortality rate in patients with Hydrocephalus treated with EVD</w:t>
            </w:r>
          </w:p>
        </w:tc>
      </w:tr>
      <w:tr w:rsidR="008A2A5B" w14:paraId="6AFE478E" w14:textId="77777777" w:rsidTr="008A2A5B">
        <w:trPr>
          <w:trHeight w:val="503"/>
        </w:trPr>
        <w:tc>
          <w:tcPr>
            <w:tcW w:w="2542" w:type="dxa"/>
            <w:tcBorders>
              <w:top w:val="single" w:sz="4" w:space="0" w:color="auto"/>
              <w:left w:val="nil"/>
              <w:bottom w:val="single" w:sz="4" w:space="0" w:color="auto"/>
              <w:right w:val="nil"/>
            </w:tcBorders>
            <w:vAlign w:val="center"/>
            <w:hideMark/>
          </w:tcPr>
          <w:p w14:paraId="48FD8E97" w14:textId="77777777" w:rsidR="008A2A5B" w:rsidRDefault="008A2A5B">
            <w:pPr>
              <w:bidi/>
              <w:jc w:val="center"/>
              <w:rPr>
                <w:rFonts w:ascii="Times New Roman" w:eastAsia="Times New Roman" w:hAnsi="Times New Roman" w:cs="B Nazanin"/>
                <w:b/>
                <w:bCs/>
                <w:rtl/>
              </w:rPr>
            </w:pPr>
            <w:r>
              <w:rPr>
                <w:rFonts w:ascii="Times New Roman" w:eastAsia="Times New Roman" w:hAnsi="Times New Roman" w:cs="B Nazanin"/>
                <w:b/>
                <w:bCs/>
              </w:rPr>
              <w:t xml:space="preserve">Variable </w:t>
            </w:r>
          </w:p>
        </w:tc>
        <w:tc>
          <w:tcPr>
            <w:tcW w:w="2542" w:type="dxa"/>
            <w:tcBorders>
              <w:top w:val="single" w:sz="4" w:space="0" w:color="auto"/>
              <w:left w:val="nil"/>
              <w:bottom w:val="single" w:sz="4" w:space="0" w:color="auto"/>
              <w:right w:val="nil"/>
            </w:tcBorders>
            <w:vAlign w:val="center"/>
            <w:hideMark/>
          </w:tcPr>
          <w:p w14:paraId="42540801" w14:textId="77777777" w:rsidR="008A2A5B" w:rsidRDefault="008A2A5B">
            <w:pPr>
              <w:bidi/>
              <w:jc w:val="center"/>
              <w:rPr>
                <w:rFonts w:asciiTheme="majorBidi" w:eastAsia="Times New Roman" w:hAnsiTheme="majorBidi" w:cstheme="majorBidi"/>
                <w:b/>
                <w:bCs/>
                <w:rtl/>
              </w:rPr>
            </w:pPr>
            <w:r>
              <w:rPr>
                <w:rFonts w:asciiTheme="majorBidi" w:hAnsiTheme="majorBidi" w:cstheme="majorBidi"/>
                <w:b/>
                <w:bCs/>
              </w:rPr>
              <w:t>Significance level</w:t>
            </w:r>
          </w:p>
        </w:tc>
        <w:tc>
          <w:tcPr>
            <w:tcW w:w="2544" w:type="dxa"/>
            <w:tcBorders>
              <w:top w:val="single" w:sz="4" w:space="0" w:color="auto"/>
              <w:left w:val="nil"/>
              <w:bottom w:val="single" w:sz="4" w:space="0" w:color="auto"/>
              <w:right w:val="nil"/>
            </w:tcBorders>
            <w:vAlign w:val="center"/>
            <w:hideMark/>
          </w:tcPr>
          <w:p w14:paraId="2CC3DD57" w14:textId="77777777" w:rsidR="008A2A5B" w:rsidRDefault="008A2A5B">
            <w:pPr>
              <w:bidi/>
              <w:jc w:val="center"/>
              <w:rPr>
                <w:rFonts w:ascii="Times New Roman" w:eastAsia="Times New Roman" w:hAnsi="Times New Roman" w:cs="B Nazanin"/>
                <w:b/>
                <w:bCs/>
                <w:rtl/>
              </w:rPr>
            </w:pPr>
            <w:r>
              <w:rPr>
                <w:rFonts w:ascii="Times New Roman" w:eastAsia="Times New Roman" w:hAnsi="Times New Roman" w:cs="B Nazanin"/>
                <w:b/>
                <w:bCs/>
              </w:rPr>
              <w:t>S.E</w:t>
            </w:r>
          </w:p>
        </w:tc>
        <w:tc>
          <w:tcPr>
            <w:tcW w:w="2544" w:type="dxa"/>
            <w:tcBorders>
              <w:top w:val="single" w:sz="4" w:space="0" w:color="auto"/>
              <w:left w:val="nil"/>
              <w:bottom w:val="single" w:sz="4" w:space="0" w:color="auto"/>
              <w:right w:val="nil"/>
            </w:tcBorders>
            <w:vAlign w:val="center"/>
            <w:hideMark/>
          </w:tcPr>
          <w:p w14:paraId="710F1750" w14:textId="77777777" w:rsidR="008A2A5B" w:rsidRDefault="008A2A5B">
            <w:pPr>
              <w:bidi/>
              <w:jc w:val="center"/>
              <w:rPr>
                <w:rFonts w:ascii="Times New Roman" w:eastAsia="Times New Roman" w:hAnsi="Times New Roman" w:cs="B Nazanin"/>
                <w:b/>
                <w:bCs/>
                <w:rtl/>
              </w:rPr>
            </w:pPr>
            <w:r>
              <w:rPr>
                <w:rFonts w:ascii="Times New Roman" w:eastAsia="Times New Roman" w:hAnsi="Times New Roman" w:cs="B Nazanin"/>
                <w:b/>
                <w:bCs/>
              </w:rPr>
              <w:t>OR (95% CI)</w:t>
            </w:r>
          </w:p>
        </w:tc>
      </w:tr>
      <w:tr w:rsidR="008A2A5B" w14:paraId="6815A406" w14:textId="77777777" w:rsidTr="008A2A5B">
        <w:trPr>
          <w:trHeight w:val="509"/>
        </w:trPr>
        <w:tc>
          <w:tcPr>
            <w:tcW w:w="2542" w:type="dxa"/>
            <w:tcBorders>
              <w:top w:val="single" w:sz="4" w:space="0" w:color="auto"/>
              <w:left w:val="nil"/>
              <w:bottom w:val="nil"/>
              <w:right w:val="nil"/>
            </w:tcBorders>
            <w:hideMark/>
          </w:tcPr>
          <w:p w14:paraId="380BF737" w14:textId="77777777" w:rsidR="008A2A5B" w:rsidRDefault="008A2A5B">
            <w:pPr>
              <w:bidi/>
              <w:spacing w:before="240"/>
              <w:jc w:val="center"/>
              <w:rPr>
                <w:rFonts w:ascii="Times New Roman" w:eastAsia="Times New Roman" w:hAnsi="Times New Roman" w:cs="B Nazanin"/>
                <w:rtl/>
              </w:rPr>
            </w:pPr>
            <w:r>
              <w:rPr>
                <w:rFonts w:ascii="Times New Roman" w:eastAsia="Times New Roman" w:hAnsi="Times New Roman" w:cs="B Nazanin"/>
              </w:rPr>
              <w:t>Age</w:t>
            </w:r>
          </w:p>
        </w:tc>
        <w:tc>
          <w:tcPr>
            <w:tcW w:w="2542" w:type="dxa"/>
            <w:tcBorders>
              <w:top w:val="single" w:sz="4" w:space="0" w:color="auto"/>
              <w:left w:val="nil"/>
              <w:bottom w:val="nil"/>
              <w:right w:val="nil"/>
            </w:tcBorders>
            <w:vAlign w:val="center"/>
            <w:hideMark/>
          </w:tcPr>
          <w:p w14:paraId="3E17D0B9" w14:textId="77777777" w:rsidR="008A2A5B" w:rsidRDefault="008A2A5B">
            <w:pPr>
              <w:bidi/>
              <w:spacing w:before="240"/>
              <w:jc w:val="center"/>
              <w:rPr>
                <w:rFonts w:ascii="Times New Roman" w:eastAsia="Times New Roman" w:hAnsi="Times New Roman" w:cs="B Nazanin"/>
                <w:rtl/>
              </w:rPr>
            </w:pPr>
            <w:r>
              <w:rPr>
                <w:rFonts w:ascii="Times New Roman" w:eastAsia="Times New Roman" w:hAnsi="Times New Roman" w:cs="B Nazanin" w:hint="cs"/>
                <w:rtl/>
              </w:rPr>
              <w:t>970/0</w:t>
            </w:r>
          </w:p>
        </w:tc>
        <w:tc>
          <w:tcPr>
            <w:tcW w:w="2544" w:type="dxa"/>
            <w:tcBorders>
              <w:top w:val="single" w:sz="4" w:space="0" w:color="auto"/>
              <w:left w:val="nil"/>
              <w:bottom w:val="nil"/>
              <w:right w:val="nil"/>
            </w:tcBorders>
            <w:vAlign w:val="center"/>
            <w:hideMark/>
          </w:tcPr>
          <w:p w14:paraId="32AF1795" w14:textId="77777777" w:rsidR="008A2A5B" w:rsidRDefault="008A2A5B">
            <w:pPr>
              <w:bidi/>
              <w:spacing w:before="240"/>
              <w:jc w:val="center"/>
              <w:rPr>
                <w:rFonts w:ascii="Times New Roman" w:eastAsia="Times New Roman" w:hAnsi="Times New Roman" w:cs="B Nazanin"/>
                <w:rtl/>
              </w:rPr>
            </w:pPr>
            <w:r>
              <w:rPr>
                <w:rFonts w:ascii="Times New Roman" w:eastAsia="Times New Roman" w:hAnsi="Times New Roman" w:cs="B Nazanin" w:hint="cs"/>
                <w:rtl/>
              </w:rPr>
              <w:t>06/0</w:t>
            </w:r>
          </w:p>
        </w:tc>
        <w:tc>
          <w:tcPr>
            <w:tcW w:w="2544" w:type="dxa"/>
            <w:tcBorders>
              <w:top w:val="single" w:sz="4" w:space="0" w:color="auto"/>
              <w:left w:val="nil"/>
              <w:bottom w:val="nil"/>
              <w:right w:val="nil"/>
            </w:tcBorders>
            <w:vAlign w:val="center"/>
            <w:hideMark/>
          </w:tcPr>
          <w:p w14:paraId="022888D2" w14:textId="77777777" w:rsidR="008A2A5B" w:rsidRDefault="008A2A5B">
            <w:pPr>
              <w:bidi/>
              <w:spacing w:before="240"/>
              <w:jc w:val="center"/>
              <w:rPr>
                <w:rFonts w:ascii="Times New Roman" w:eastAsia="Times New Roman" w:hAnsi="Times New Roman" w:cs="B Nazanin"/>
                <w:rtl/>
              </w:rPr>
            </w:pPr>
            <w:r>
              <w:rPr>
                <w:rFonts w:ascii="Times New Roman" w:eastAsia="Times New Roman" w:hAnsi="Times New Roman" w:cs="B Nazanin" w:hint="cs"/>
                <w:rtl/>
              </w:rPr>
              <w:t xml:space="preserve">(13/1 </w:t>
            </w:r>
            <w:r>
              <w:rPr>
                <w:rFonts w:ascii="Times New Roman" w:eastAsia="Times New Roman" w:hAnsi="Times New Roman" w:cs="Times New Roman"/>
                <w:rtl/>
              </w:rPr>
              <w:t>–</w:t>
            </w:r>
            <w:r>
              <w:rPr>
                <w:rFonts w:ascii="Times New Roman" w:eastAsia="Times New Roman" w:hAnsi="Times New Roman" w:cs="B Nazanin" w:hint="cs"/>
                <w:rtl/>
              </w:rPr>
              <w:t xml:space="preserve"> 89/0) 002/1</w:t>
            </w:r>
          </w:p>
        </w:tc>
      </w:tr>
      <w:tr w:rsidR="008A2A5B" w14:paraId="18449668" w14:textId="77777777" w:rsidTr="008A2A5B">
        <w:trPr>
          <w:trHeight w:val="678"/>
        </w:trPr>
        <w:tc>
          <w:tcPr>
            <w:tcW w:w="2542" w:type="dxa"/>
            <w:tcBorders>
              <w:top w:val="nil"/>
              <w:left w:val="nil"/>
              <w:bottom w:val="nil"/>
              <w:right w:val="nil"/>
            </w:tcBorders>
            <w:hideMark/>
          </w:tcPr>
          <w:p w14:paraId="21425BD1" w14:textId="77777777" w:rsidR="008A2A5B" w:rsidRDefault="008A2A5B">
            <w:pPr>
              <w:bidi/>
              <w:spacing w:before="240"/>
              <w:jc w:val="center"/>
              <w:rPr>
                <w:rFonts w:ascii="Times New Roman" w:eastAsia="Times New Roman" w:hAnsi="Times New Roman" w:cs="B Nazanin"/>
                <w:rtl/>
              </w:rPr>
            </w:pPr>
            <w:r>
              <w:rPr>
                <w:rFonts w:ascii="Times New Roman" w:eastAsia="Times New Roman" w:hAnsi="Times New Roman" w:cs="B Nazanin"/>
              </w:rPr>
              <w:t>Level of consciousness</w:t>
            </w:r>
          </w:p>
        </w:tc>
        <w:tc>
          <w:tcPr>
            <w:tcW w:w="2542" w:type="dxa"/>
            <w:tcBorders>
              <w:top w:val="nil"/>
              <w:left w:val="nil"/>
              <w:bottom w:val="nil"/>
              <w:right w:val="nil"/>
            </w:tcBorders>
            <w:vAlign w:val="center"/>
            <w:hideMark/>
          </w:tcPr>
          <w:p w14:paraId="09C91F0C" w14:textId="77777777" w:rsidR="008A2A5B" w:rsidRDefault="008A2A5B">
            <w:pPr>
              <w:bidi/>
              <w:spacing w:before="240"/>
              <w:jc w:val="center"/>
              <w:rPr>
                <w:rFonts w:ascii="Times New Roman" w:eastAsia="Times New Roman" w:hAnsi="Times New Roman" w:cs="B Nazanin"/>
                <w:rtl/>
              </w:rPr>
            </w:pPr>
            <w:r>
              <w:rPr>
                <w:rFonts w:ascii="Times New Roman" w:eastAsia="Times New Roman" w:hAnsi="Times New Roman" w:cs="B Nazanin" w:hint="cs"/>
                <w:rtl/>
              </w:rPr>
              <w:t>005/0</w:t>
            </w:r>
          </w:p>
        </w:tc>
        <w:tc>
          <w:tcPr>
            <w:tcW w:w="2544" w:type="dxa"/>
            <w:tcBorders>
              <w:top w:val="nil"/>
              <w:left w:val="nil"/>
              <w:bottom w:val="nil"/>
              <w:right w:val="nil"/>
            </w:tcBorders>
            <w:vAlign w:val="center"/>
            <w:hideMark/>
          </w:tcPr>
          <w:p w14:paraId="03B8B2BB" w14:textId="77777777" w:rsidR="008A2A5B" w:rsidRDefault="008A2A5B">
            <w:pPr>
              <w:bidi/>
              <w:spacing w:before="240"/>
              <w:jc w:val="center"/>
              <w:rPr>
                <w:rFonts w:ascii="Times New Roman" w:eastAsia="Times New Roman" w:hAnsi="Times New Roman" w:cs="B Nazanin"/>
                <w:rtl/>
              </w:rPr>
            </w:pPr>
            <w:r>
              <w:rPr>
                <w:rFonts w:ascii="Times New Roman" w:eastAsia="Times New Roman" w:hAnsi="Times New Roman" w:cs="B Nazanin" w:hint="cs"/>
                <w:rtl/>
              </w:rPr>
              <w:t>52/0</w:t>
            </w:r>
          </w:p>
        </w:tc>
        <w:tc>
          <w:tcPr>
            <w:tcW w:w="2544" w:type="dxa"/>
            <w:tcBorders>
              <w:top w:val="nil"/>
              <w:left w:val="nil"/>
              <w:bottom w:val="nil"/>
              <w:right w:val="nil"/>
            </w:tcBorders>
            <w:vAlign w:val="center"/>
            <w:hideMark/>
          </w:tcPr>
          <w:p w14:paraId="5FAD5938" w14:textId="77777777" w:rsidR="008A2A5B" w:rsidRDefault="008A2A5B">
            <w:pPr>
              <w:bidi/>
              <w:spacing w:before="240"/>
              <w:jc w:val="center"/>
              <w:rPr>
                <w:rFonts w:ascii="Times New Roman" w:eastAsia="Times New Roman" w:hAnsi="Times New Roman" w:cs="B Nazanin"/>
                <w:rtl/>
              </w:rPr>
            </w:pPr>
            <w:r>
              <w:rPr>
                <w:rFonts w:ascii="Times New Roman" w:eastAsia="Times New Roman" w:hAnsi="Times New Roman" w:cs="B Nazanin" w:hint="cs"/>
                <w:rtl/>
              </w:rPr>
              <w:t>(65/0- 08/0) 23/0</w:t>
            </w:r>
          </w:p>
        </w:tc>
      </w:tr>
      <w:tr w:rsidR="008A2A5B" w14:paraId="530DF8A4" w14:textId="77777777" w:rsidTr="008A2A5B">
        <w:trPr>
          <w:trHeight w:val="509"/>
        </w:trPr>
        <w:tc>
          <w:tcPr>
            <w:tcW w:w="2542" w:type="dxa"/>
            <w:tcBorders>
              <w:top w:val="nil"/>
              <w:left w:val="nil"/>
              <w:bottom w:val="single" w:sz="4" w:space="0" w:color="auto"/>
              <w:right w:val="nil"/>
            </w:tcBorders>
            <w:hideMark/>
          </w:tcPr>
          <w:p w14:paraId="1A4ADE30" w14:textId="77777777" w:rsidR="008A2A5B" w:rsidRDefault="008A2A5B">
            <w:pPr>
              <w:bidi/>
              <w:spacing w:before="240"/>
              <w:jc w:val="center"/>
              <w:rPr>
                <w:rFonts w:ascii="Times New Roman" w:eastAsia="Times New Roman" w:hAnsi="Times New Roman" w:cs="B Nazanin"/>
                <w:rtl/>
              </w:rPr>
            </w:pPr>
            <w:r>
              <w:rPr>
                <w:rFonts w:ascii="Times New Roman" w:eastAsia="Times New Roman" w:hAnsi="Times New Roman" w:cs="B Nazanin"/>
              </w:rPr>
              <w:t>NLR</w:t>
            </w:r>
          </w:p>
        </w:tc>
        <w:tc>
          <w:tcPr>
            <w:tcW w:w="2542" w:type="dxa"/>
            <w:tcBorders>
              <w:top w:val="nil"/>
              <w:left w:val="nil"/>
              <w:bottom w:val="single" w:sz="4" w:space="0" w:color="auto"/>
              <w:right w:val="nil"/>
            </w:tcBorders>
            <w:vAlign w:val="center"/>
            <w:hideMark/>
          </w:tcPr>
          <w:p w14:paraId="453A9913" w14:textId="77777777" w:rsidR="008A2A5B" w:rsidRDefault="008A2A5B">
            <w:pPr>
              <w:bidi/>
              <w:spacing w:before="240"/>
              <w:jc w:val="center"/>
              <w:rPr>
                <w:rFonts w:ascii="Times New Roman" w:eastAsia="Times New Roman" w:hAnsi="Times New Roman" w:cs="B Nazanin"/>
                <w:rtl/>
              </w:rPr>
            </w:pPr>
            <w:r>
              <w:rPr>
                <w:rFonts w:ascii="Times New Roman" w:eastAsia="Times New Roman" w:hAnsi="Times New Roman" w:cs="B Nazanin" w:hint="cs"/>
                <w:rtl/>
              </w:rPr>
              <w:t>646/0</w:t>
            </w:r>
          </w:p>
        </w:tc>
        <w:tc>
          <w:tcPr>
            <w:tcW w:w="2544" w:type="dxa"/>
            <w:tcBorders>
              <w:top w:val="nil"/>
              <w:left w:val="nil"/>
              <w:bottom w:val="single" w:sz="4" w:space="0" w:color="auto"/>
              <w:right w:val="nil"/>
            </w:tcBorders>
            <w:vAlign w:val="center"/>
            <w:hideMark/>
          </w:tcPr>
          <w:p w14:paraId="740F4C3C" w14:textId="77777777" w:rsidR="008A2A5B" w:rsidRDefault="008A2A5B">
            <w:pPr>
              <w:bidi/>
              <w:spacing w:before="240"/>
              <w:jc w:val="center"/>
              <w:rPr>
                <w:rFonts w:ascii="Times New Roman" w:eastAsia="Times New Roman" w:hAnsi="Times New Roman" w:cs="B Nazanin"/>
                <w:rtl/>
              </w:rPr>
            </w:pPr>
            <w:r>
              <w:rPr>
                <w:rFonts w:ascii="Times New Roman" w:eastAsia="Times New Roman" w:hAnsi="Times New Roman" w:cs="B Nazanin" w:hint="cs"/>
                <w:rtl/>
              </w:rPr>
              <w:t>14/0</w:t>
            </w:r>
          </w:p>
        </w:tc>
        <w:tc>
          <w:tcPr>
            <w:tcW w:w="2544" w:type="dxa"/>
            <w:tcBorders>
              <w:top w:val="nil"/>
              <w:left w:val="nil"/>
              <w:bottom w:val="single" w:sz="4" w:space="0" w:color="auto"/>
              <w:right w:val="nil"/>
            </w:tcBorders>
            <w:vAlign w:val="center"/>
            <w:hideMark/>
          </w:tcPr>
          <w:p w14:paraId="09EC8DF0" w14:textId="77777777" w:rsidR="008A2A5B" w:rsidRDefault="008A2A5B">
            <w:pPr>
              <w:bidi/>
              <w:spacing w:before="240"/>
              <w:jc w:val="center"/>
              <w:rPr>
                <w:rFonts w:ascii="Times New Roman" w:eastAsia="Times New Roman" w:hAnsi="Times New Roman" w:cs="B Nazanin"/>
                <w:rtl/>
              </w:rPr>
            </w:pPr>
            <w:r>
              <w:rPr>
                <w:rFonts w:ascii="Times New Roman" w:eastAsia="Times New Roman" w:hAnsi="Times New Roman" w:cs="B Nazanin" w:hint="cs"/>
                <w:rtl/>
              </w:rPr>
              <w:t>(42/1 -80/0) 07/1</w:t>
            </w:r>
          </w:p>
        </w:tc>
      </w:tr>
    </w:tbl>
    <w:p w14:paraId="5A089E38" w14:textId="77777777" w:rsidR="008A2A5B" w:rsidRDefault="008A2A5B" w:rsidP="008A2A5B">
      <w:pPr>
        <w:rPr>
          <w:rtl/>
        </w:rPr>
      </w:pPr>
    </w:p>
    <w:p w14:paraId="17AAA0BD" w14:textId="77777777" w:rsidR="008A2A5B" w:rsidRDefault="008A2A5B" w:rsidP="008A2A5B">
      <w:pPr>
        <w:rPr>
          <w:sz w:val="20"/>
          <w:szCs w:val="20"/>
        </w:rPr>
      </w:pPr>
      <w:r>
        <w:rPr>
          <w:sz w:val="20"/>
          <w:szCs w:val="20"/>
        </w:rPr>
        <w:t>CI, confidence interval; NLR, neutrophil-to-lymphocyte ratio; S.E, standard error; OR, odds ratio</w:t>
      </w:r>
    </w:p>
    <w:p w14:paraId="07E536B3" w14:textId="77777777" w:rsidR="008A2A5B" w:rsidRDefault="008A2A5B" w:rsidP="008A2A5B"/>
    <w:p w14:paraId="7F7021CD" w14:textId="77777777" w:rsidR="008A2A5B" w:rsidRDefault="008A2A5B" w:rsidP="008A2A5B"/>
    <w:p w14:paraId="0BCDBF32" w14:textId="77777777" w:rsidR="008A2A5B" w:rsidRDefault="008A2A5B" w:rsidP="008A2A5B"/>
    <w:p w14:paraId="6F2C8F3E" w14:textId="77777777" w:rsidR="008A2A5B" w:rsidRDefault="008A2A5B" w:rsidP="008A2A5B"/>
    <w:p w14:paraId="1B803290" w14:textId="77777777" w:rsidR="008A2A5B" w:rsidRDefault="008A2A5B" w:rsidP="008A2A5B"/>
    <w:p w14:paraId="20208DAA" w14:textId="77777777" w:rsidR="008A2A5B" w:rsidRDefault="008A2A5B" w:rsidP="008A2A5B"/>
    <w:p w14:paraId="1BE773F3" w14:textId="77777777" w:rsidR="008A2A5B" w:rsidRDefault="008A2A5B" w:rsidP="008A2A5B"/>
    <w:p w14:paraId="1957E5CE" w14:textId="77777777" w:rsidR="008A2A5B" w:rsidRDefault="008A2A5B" w:rsidP="008A2A5B"/>
    <w:p w14:paraId="5C17CFF9" w14:textId="77777777" w:rsidR="008A2A5B" w:rsidRDefault="008A2A5B" w:rsidP="008A2A5B"/>
    <w:p w14:paraId="18926FE2" w14:textId="77777777" w:rsidR="008A2A5B" w:rsidRDefault="008A2A5B" w:rsidP="008A2A5B"/>
    <w:tbl>
      <w:tblPr>
        <w:tblStyle w:val="TableGrid"/>
        <w:tblpPr w:leftFromText="180" w:rightFromText="180" w:vertAnchor="text" w:horzAnchor="margin" w:tblpXSpec="center" w:tblpY="278"/>
        <w:tblW w:w="10980" w:type="dxa"/>
        <w:tblInd w:w="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6"/>
        <w:gridCol w:w="2881"/>
        <w:gridCol w:w="1801"/>
        <w:gridCol w:w="1711"/>
        <w:gridCol w:w="2071"/>
      </w:tblGrid>
      <w:tr w:rsidR="008A2A5B" w14:paraId="1B8B7E6F" w14:textId="77777777" w:rsidTr="008A2A5B">
        <w:trPr>
          <w:trHeight w:val="360"/>
        </w:trPr>
        <w:tc>
          <w:tcPr>
            <w:tcW w:w="10975" w:type="dxa"/>
            <w:gridSpan w:val="5"/>
            <w:tcBorders>
              <w:top w:val="nil"/>
              <w:left w:val="nil"/>
              <w:bottom w:val="single" w:sz="4" w:space="0" w:color="auto"/>
              <w:right w:val="nil"/>
            </w:tcBorders>
            <w:hideMark/>
          </w:tcPr>
          <w:p w14:paraId="44DADE35" w14:textId="77777777" w:rsidR="008A2A5B" w:rsidRDefault="008A2A5B">
            <w:pPr>
              <w:rPr>
                <w:rFonts w:asciiTheme="majorBidi" w:hAnsiTheme="majorBidi" w:cstheme="majorBidi"/>
              </w:rPr>
            </w:pPr>
            <w:r>
              <w:rPr>
                <w:rFonts w:asciiTheme="majorBidi" w:hAnsiTheme="majorBidi" w:cstheme="majorBidi"/>
              </w:rPr>
              <w:t>Table 4. GCS scores corresponding to various levels of consciousness in</w:t>
            </w:r>
            <w:r>
              <w:t xml:space="preserve"> </w:t>
            </w:r>
            <w:r>
              <w:rPr>
                <w:rFonts w:asciiTheme="majorBidi" w:hAnsiTheme="majorBidi" w:cstheme="majorBidi"/>
              </w:rPr>
              <w:t>patients with Low and High NLRs on mortality rate</w:t>
            </w:r>
          </w:p>
        </w:tc>
      </w:tr>
      <w:tr w:rsidR="008A2A5B" w14:paraId="22A6EB8D" w14:textId="77777777" w:rsidTr="008A2A5B">
        <w:trPr>
          <w:trHeight w:val="545"/>
        </w:trPr>
        <w:tc>
          <w:tcPr>
            <w:tcW w:w="2515" w:type="dxa"/>
            <w:vMerge w:val="restart"/>
            <w:tcBorders>
              <w:top w:val="single" w:sz="4" w:space="0" w:color="auto"/>
              <w:left w:val="nil"/>
              <w:bottom w:val="single" w:sz="4" w:space="0" w:color="auto"/>
              <w:right w:val="nil"/>
            </w:tcBorders>
          </w:tcPr>
          <w:p w14:paraId="517E205F" w14:textId="77777777" w:rsidR="008A2A5B" w:rsidRDefault="008A2A5B">
            <w:pPr>
              <w:rPr>
                <w:rFonts w:asciiTheme="majorBidi" w:hAnsiTheme="majorBidi" w:cstheme="majorBidi"/>
                <w:b/>
                <w:bCs/>
              </w:rPr>
            </w:pPr>
          </w:p>
          <w:p w14:paraId="6EACB141" w14:textId="77777777" w:rsidR="008A2A5B" w:rsidRDefault="008A2A5B">
            <w:pPr>
              <w:rPr>
                <w:rFonts w:asciiTheme="majorBidi" w:hAnsiTheme="majorBidi" w:cstheme="majorBidi"/>
              </w:rPr>
            </w:pPr>
            <w:r>
              <w:rPr>
                <w:rFonts w:asciiTheme="majorBidi" w:hAnsiTheme="majorBidi" w:cstheme="majorBidi"/>
                <w:b/>
                <w:bCs/>
              </w:rPr>
              <w:t>Level of consciousness</w:t>
            </w:r>
          </w:p>
        </w:tc>
        <w:tc>
          <w:tcPr>
            <w:tcW w:w="2880" w:type="dxa"/>
            <w:vMerge w:val="restart"/>
            <w:tcBorders>
              <w:top w:val="single" w:sz="4" w:space="0" w:color="auto"/>
              <w:left w:val="nil"/>
              <w:bottom w:val="single" w:sz="4" w:space="0" w:color="auto"/>
              <w:right w:val="nil"/>
            </w:tcBorders>
          </w:tcPr>
          <w:p w14:paraId="7218F529" w14:textId="77777777" w:rsidR="008A2A5B" w:rsidRDefault="008A2A5B">
            <w:pPr>
              <w:rPr>
                <w:rFonts w:asciiTheme="majorBidi" w:hAnsiTheme="majorBidi" w:cstheme="majorBidi"/>
                <w:b/>
                <w:bCs/>
              </w:rPr>
            </w:pPr>
          </w:p>
          <w:p w14:paraId="42820B1F" w14:textId="77777777" w:rsidR="008A2A5B" w:rsidRDefault="008A2A5B">
            <w:pPr>
              <w:jc w:val="center"/>
              <w:rPr>
                <w:rFonts w:asciiTheme="majorBidi" w:hAnsiTheme="majorBidi" w:cstheme="majorBidi"/>
                <w:b/>
                <w:bCs/>
              </w:rPr>
            </w:pPr>
            <w:r>
              <w:rPr>
                <w:rFonts w:asciiTheme="majorBidi" w:hAnsiTheme="majorBidi" w:cstheme="majorBidi"/>
                <w:b/>
                <w:bCs/>
              </w:rPr>
              <w:t>GSC scores, mean ± SD</w:t>
            </w:r>
          </w:p>
        </w:tc>
        <w:tc>
          <w:tcPr>
            <w:tcW w:w="3510" w:type="dxa"/>
            <w:gridSpan w:val="2"/>
            <w:tcBorders>
              <w:top w:val="single" w:sz="4" w:space="0" w:color="auto"/>
              <w:left w:val="nil"/>
              <w:bottom w:val="single" w:sz="4" w:space="0" w:color="auto"/>
              <w:right w:val="nil"/>
            </w:tcBorders>
            <w:hideMark/>
          </w:tcPr>
          <w:p w14:paraId="11F18D64" w14:textId="77777777" w:rsidR="008A2A5B" w:rsidRDefault="008A2A5B">
            <w:pPr>
              <w:jc w:val="center"/>
              <w:rPr>
                <w:rFonts w:asciiTheme="majorBidi" w:hAnsiTheme="majorBidi" w:cstheme="majorBidi"/>
              </w:rPr>
            </w:pPr>
            <w:r>
              <w:rPr>
                <w:rFonts w:asciiTheme="majorBidi" w:hAnsiTheme="majorBidi" w:cstheme="majorBidi"/>
                <w:b/>
                <w:bCs/>
              </w:rPr>
              <w:t>95% Confidence Interval</w:t>
            </w:r>
          </w:p>
        </w:tc>
        <w:tc>
          <w:tcPr>
            <w:tcW w:w="2070" w:type="dxa"/>
            <w:vMerge w:val="restart"/>
            <w:tcBorders>
              <w:top w:val="single" w:sz="4" w:space="0" w:color="auto"/>
              <w:left w:val="nil"/>
              <w:bottom w:val="single" w:sz="4" w:space="0" w:color="auto"/>
              <w:right w:val="nil"/>
            </w:tcBorders>
          </w:tcPr>
          <w:p w14:paraId="7AC9E2BB" w14:textId="77777777" w:rsidR="008A2A5B" w:rsidRDefault="008A2A5B">
            <w:pPr>
              <w:jc w:val="center"/>
              <w:rPr>
                <w:rFonts w:asciiTheme="majorBidi" w:hAnsiTheme="majorBidi" w:cstheme="majorBidi"/>
                <w:b/>
                <w:bCs/>
              </w:rPr>
            </w:pPr>
          </w:p>
          <w:p w14:paraId="2E0C22FC" w14:textId="77777777" w:rsidR="008A2A5B" w:rsidRDefault="008A2A5B">
            <w:pPr>
              <w:jc w:val="center"/>
              <w:rPr>
                <w:rFonts w:asciiTheme="majorBidi" w:hAnsiTheme="majorBidi" w:cstheme="majorBidi"/>
                <w:b/>
                <w:bCs/>
              </w:rPr>
            </w:pPr>
            <w:r>
              <w:rPr>
                <w:rFonts w:asciiTheme="majorBidi" w:hAnsiTheme="majorBidi" w:cstheme="majorBidi"/>
                <w:b/>
                <w:bCs/>
              </w:rPr>
              <w:t>Significance level</w:t>
            </w:r>
          </w:p>
        </w:tc>
      </w:tr>
      <w:tr w:rsidR="008A2A5B" w14:paraId="2E141874" w14:textId="77777777" w:rsidTr="008A2A5B">
        <w:trPr>
          <w:trHeight w:val="638"/>
        </w:trPr>
        <w:tc>
          <w:tcPr>
            <w:tcW w:w="10975" w:type="dxa"/>
            <w:vMerge/>
            <w:tcBorders>
              <w:top w:val="single" w:sz="4" w:space="0" w:color="auto"/>
              <w:left w:val="nil"/>
              <w:bottom w:val="single" w:sz="4" w:space="0" w:color="auto"/>
              <w:right w:val="nil"/>
            </w:tcBorders>
            <w:vAlign w:val="center"/>
            <w:hideMark/>
          </w:tcPr>
          <w:p w14:paraId="78A73711" w14:textId="77777777" w:rsidR="008A2A5B" w:rsidRDefault="008A2A5B">
            <w:pPr>
              <w:rPr>
                <w:rFonts w:asciiTheme="majorBidi" w:hAnsiTheme="majorBidi" w:cstheme="majorBidi"/>
              </w:rPr>
            </w:pPr>
          </w:p>
        </w:tc>
        <w:tc>
          <w:tcPr>
            <w:tcW w:w="2880" w:type="dxa"/>
            <w:vMerge/>
            <w:tcBorders>
              <w:top w:val="single" w:sz="4" w:space="0" w:color="auto"/>
              <w:left w:val="nil"/>
              <w:bottom w:val="single" w:sz="4" w:space="0" w:color="auto"/>
              <w:right w:val="nil"/>
            </w:tcBorders>
            <w:vAlign w:val="center"/>
            <w:hideMark/>
          </w:tcPr>
          <w:p w14:paraId="41F885E1" w14:textId="77777777" w:rsidR="008A2A5B" w:rsidRDefault="008A2A5B">
            <w:pPr>
              <w:rPr>
                <w:rFonts w:asciiTheme="majorBidi" w:hAnsiTheme="majorBidi" w:cstheme="majorBidi"/>
                <w:b/>
                <w:bCs/>
              </w:rPr>
            </w:pPr>
          </w:p>
        </w:tc>
        <w:tc>
          <w:tcPr>
            <w:tcW w:w="3510" w:type="dxa"/>
            <w:gridSpan w:val="2"/>
            <w:tcBorders>
              <w:top w:val="single" w:sz="4" w:space="0" w:color="auto"/>
              <w:left w:val="nil"/>
              <w:bottom w:val="single" w:sz="4" w:space="0" w:color="auto"/>
              <w:right w:val="nil"/>
            </w:tcBorders>
            <w:hideMark/>
          </w:tcPr>
          <w:p w14:paraId="7634E892" w14:textId="77777777" w:rsidR="008A2A5B" w:rsidRDefault="008A2A5B">
            <w:pPr>
              <w:rPr>
                <w:rFonts w:asciiTheme="majorBidi" w:hAnsiTheme="majorBidi" w:cstheme="majorBidi"/>
              </w:rPr>
            </w:pPr>
            <w:r>
              <w:rPr>
                <w:rFonts w:asciiTheme="majorBidi" w:hAnsiTheme="majorBidi" w:cstheme="majorBidi"/>
              </w:rPr>
              <w:t xml:space="preserve">         Lower                     Upper</w:t>
            </w:r>
          </w:p>
          <w:p w14:paraId="66CB0F17" w14:textId="77777777" w:rsidR="008A2A5B" w:rsidRDefault="008A2A5B">
            <w:pPr>
              <w:rPr>
                <w:rFonts w:asciiTheme="majorBidi" w:hAnsiTheme="majorBidi" w:cstheme="majorBidi"/>
              </w:rPr>
            </w:pPr>
            <w:r>
              <w:rPr>
                <w:rFonts w:asciiTheme="majorBidi" w:hAnsiTheme="majorBidi" w:cstheme="majorBidi"/>
              </w:rPr>
              <w:t xml:space="preserve">         bound                    </w:t>
            </w:r>
            <w:proofErr w:type="spellStart"/>
            <w:r>
              <w:rPr>
                <w:rFonts w:asciiTheme="majorBidi" w:hAnsiTheme="majorBidi" w:cstheme="majorBidi"/>
              </w:rPr>
              <w:t>bound</w:t>
            </w:r>
            <w:proofErr w:type="spellEnd"/>
          </w:p>
        </w:tc>
        <w:tc>
          <w:tcPr>
            <w:tcW w:w="2070" w:type="dxa"/>
            <w:vMerge/>
            <w:tcBorders>
              <w:top w:val="single" w:sz="4" w:space="0" w:color="auto"/>
              <w:left w:val="nil"/>
              <w:bottom w:val="single" w:sz="4" w:space="0" w:color="auto"/>
              <w:right w:val="nil"/>
            </w:tcBorders>
            <w:vAlign w:val="center"/>
            <w:hideMark/>
          </w:tcPr>
          <w:p w14:paraId="170ECE7C" w14:textId="77777777" w:rsidR="008A2A5B" w:rsidRDefault="008A2A5B">
            <w:pPr>
              <w:rPr>
                <w:rFonts w:asciiTheme="majorBidi" w:hAnsiTheme="majorBidi" w:cstheme="majorBidi"/>
                <w:b/>
                <w:bCs/>
              </w:rPr>
            </w:pPr>
          </w:p>
        </w:tc>
      </w:tr>
      <w:tr w:rsidR="008A2A5B" w14:paraId="5DDBF0F1" w14:textId="77777777" w:rsidTr="008A2A5B">
        <w:trPr>
          <w:trHeight w:val="348"/>
        </w:trPr>
        <w:tc>
          <w:tcPr>
            <w:tcW w:w="10975" w:type="dxa"/>
            <w:gridSpan w:val="5"/>
            <w:tcBorders>
              <w:top w:val="nil"/>
              <w:left w:val="nil"/>
              <w:bottom w:val="nil"/>
              <w:right w:val="nil"/>
            </w:tcBorders>
            <w:vAlign w:val="center"/>
            <w:hideMark/>
          </w:tcPr>
          <w:p w14:paraId="53FAF6D3" w14:textId="77777777" w:rsidR="008A2A5B" w:rsidRDefault="008A2A5B">
            <w:pPr>
              <w:rPr>
                <w:rFonts w:asciiTheme="majorBidi" w:eastAsia="Times New Roman" w:hAnsiTheme="majorBidi" w:cstheme="majorBidi"/>
                <w:b/>
                <w:bCs/>
              </w:rPr>
            </w:pPr>
            <w:r>
              <w:rPr>
                <w:rFonts w:asciiTheme="majorBidi" w:eastAsia="Times New Roman" w:hAnsiTheme="majorBidi" w:cstheme="majorBidi"/>
                <w:b/>
                <w:bCs/>
              </w:rPr>
              <w:t>NLR &lt; 8.88</w:t>
            </w:r>
          </w:p>
        </w:tc>
      </w:tr>
      <w:tr w:rsidR="008A2A5B" w14:paraId="03A45114" w14:textId="77777777" w:rsidTr="008A2A5B">
        <w:trPr>
          <w:trHeight w:val="348"/>
        </w:trPr>
        <w:tc>
          <w:tcPr>
            <w:tcW w:w="2515" w:type="dxa"/>
            <w:tcBorders>
              <w:top w:val="nil"/>
              <w:left w:val="nil"/>
              <w:bottom w:val="nil"/>
              <w:right w:val="nil"/>
            </w:tcBorders>
            <w:vAlign w:val="center"/>
            <w:hideMark/>
          </w:tcPr>
          <w:p w14:paraId="59B723CB" w14:textId="77777777" w:rsidR="008A2A5B" w:rsidRDefault="008A2A5B">
            <w:pPr>
              <w:rPr>
                <w:rFonts w:asciiTheme="majorBidi" w:hAnsiTheme="majorBidi" w:cstheme="majorBidi"/>
              </w:rPr>
            </w:pPr>
            <w:r>
              <w:rPr>
                <w:rFonts w:asciiTheme="majorBidi" w:eastAsia="Times New Roman" w:hAnsiTheme="majorBidi" w:cstheme="majorBidi"/>
              </w:rPr>
              <w:t>Coma (n=1)</w:t>
            </w:r>
          </w:p>
        </w:tc>
        <w:tc>
          <w:tcPr>
            <w:tcW w:w="2880" w:type="dxa"/>
            <w:tcBorders>
              <w:top w:val="nil"/>
              <w:left w:val="nil"/>
              <w:bottom w:val="nil"/>
              <w:right w:val="nil"/>
            </w:tcBorders>
            <w:vAlign w:val="center"/>
            <w:hideMark/>
          </w:tcPr>
          <w:p w14:paraId="61E4FF35" w14:textId="77777777" w:rsidR="008A2A5B" w:rsidRDefault="008A2A5B">
            <w:pPr>
              <w:jc w:val="center"/>
              <w:rPr>
                <w:rFonts w:asciiTheme="majorBidi" w:hAnsiTheme="majorBidi" w:cstheme="majorBidi"/>
              </w:rPr>
            </w:pPr>
            <w:r>
              <w:rPr>
                <w:rFonts w:asciiTheme="majorBidi" w:eastAsia="Times New Roman" w:hAnsiTheme="majorBidi" w:cstheme="majorBidi"/>
              </w:rPr>
              <w:t>3.5 ± 0.57</w:t>
            </w:r>
          </w:p>
        </w:tc>
        <w:tc>
          <w:tcPr>
            <w:tcW w:w="1800" w:type="dxa"/>
            <w:tcBorders>
              <w:top w:val="nil"/>
              <w:left w:val="nil"/>
              <w:bottom w:val="nil"/>
              <w:right w:val="nil"/>
            </w:tcBorders>
            <w:vAlign w:val="center"/>
            <w:hideMark/>
          </w:tcPr>
          <w:p w14:paraId="291F73A4" w14:textId="77777777" w:rsidR="008A2A5B" w:rsidRDefault="008A2A5B">
            <w:pPr>
              <w:jc w:val="center"/>
              <w:rPr>
                <w:rFonts w:asciiTheme="majorBidi" w:eastAsia="Times New Roman" w:hAnsiTheme="majorBidi" w:cstheme="majorBidi"/>
              </w:rPr>
            </w:pPr>
            <w:r>
              <w:rPr>
                <w:rFonts w:asciiTheme="majorBidi" w:eastAsia="Times New Roman" w:hAnsiTheme="majorBidi" w:cstheme="majorBidi"/>
              </w:rPr>
              <w:t>-5.033</w:t>
            </w:r>
          </w:p>
        </w:tc>
        <w:tc>
          <w:tcPr>
            <w:tcW w:w="1710" w:type="dxa"/>
            <w:tcBorders>
              <w:top w:val="nil"/>
              <w:left w:val="nil"/>
              <w:bottom w:val="nil"/>
              <w:right w:val="nil"/>
            </w:tcBorders>
            <w:vAlign w:val="center"/>
            <w:hideMark/>
          </w:tcPr>
          <w:p w14:paraId="36A416D2" w14:textId="77777777" w:rsidR="008A2A5B" w:rsidRDefault="008A2A5B">
            <w:pPr>
              <w:jc w:val="center"/>
              <w:rPr>
                <w:rFonts w:asciiTheme="majorBidi" w:eastAsia="Times New Roman" w:hAnsiTheme="majorBidi" w:cstheme="majorBidi"/>
              </w:rPr>
            </w:pPr>
            <w:r>
              <w:rPr>
                <w:rFonts w:asciiTheme="majorBidi" w:eastAsia="Times New Roman" w:hAnsiTheme="majorBidi" w:cstheme="majorBidi"/>
              </w:rPr>
              <w:t>4.833</w:t>
            </w:r>
          </w:p>
        </w:tc>
        <w:tc>
          <w:tcPr>
            <w:tcW w:w="2070" w:type="dxa"/>
            <w:tcBorders>
              <w:top w:val="nil"/>
              <w:left w:val="nil"/>
              <w:bottom w:val="nil"/>
              <w:right w:val="nil"/>
            </w:tcBorders>
            <w:vAlign w:val="bottom"/>
            <w:hideMark/>
          </w:tcPr>
          <w:p w14:paraId="500C51A0" w14:textId="77777777" w:rsidR="008A2A5B" w:rsidRDefault="008A2A5B">
            <w:pPr>
              <w:jc w:val="center"/>
              <w:rPr>
                <w:rFonts w:asciiTheme="majorBidi" w:eastAsia="Times New Roman" w:hAnsiTheme="majorBidi" w:cstheme="majorBidi"/>
              </w:rPr>
            </w:pPr>
            <w:r>
              <w:rPr>
                <w:rFonts w:asciiTheme="majorBidi" w:eastAsia="Times New Roman" w:hAnsiTheme="majorBidi" w:cstheme="majorBidi"/>
              </w:rPr>
              <w:t>&gt;0.9999</w:t>
            </w:r>
          </w:p>
        </w:tc>
      </w:tr>
      <w:tr w:rsidR="008A2A5B" w14:paraId="6E667193" w14:textId="77777777" w:rsidTr="008A2A5B">
        <w:trPr>
          <w:trHeight w:val="348"/>
        </w:trPr>
        <w:tc>
          <w:tcPr>
            <w:tcW w:w="2515" w:type="dxa"/>
            <w:tcBorders>
              <w:top w:val="nil"/>
              <w:left w:val="nil"/>
              <w:bottom w:val="nil"/>
              <w:right w:val="nil"/>
            </w:tcBorders>
            <w:vAlign w:val="center"/>
            <w:hideMark/>
          </w:tcPr>
          <w:p w14:paraId="51C71999" w14:textId="77777777" w:rsidR="008A2A5B" w:rsidRDefault="008A2A5B">
            <w:pPr>
              <w:rPr>
                <w:rFonts w:asciiTheme="majorBidi" w:hAnsiTheme="majorBidi" w:cstheme="majorBidi"/>
              </w:rPr>
            </w:pPr>
            <w:proofErr w:type="spellStart"/>
            <w:r>
              <w:rPr>
                <w:rFonts w:asciiTheme="majorBidi" w:eastAsia="Times New Roman" w:hAnsiTheme="majorBidi" w:cstheme="majorBidi"/>
              </w:rPr>
              <w:t>Semicoma</w:t>
            </w:r>
            <w:proofErr w:type="spellEnd"/>
            <w:r>
              <w:rPr>
                <w:rFonts w:asciiTheme="majorBidi" w:eastAsia="Times New Roman" w:hAnsiTheme="majorBidi" w:cstheme="majorBidi"/>
              </w:rPr>
              <w:t xml:space="preserve"> (n=8)</w:t>
            </w:r>
          </w:p>
        </w:tc>
        <w:tc>
          <w:tcPr>
            <w:tcW w:w="2880" w:type="dxa"/>
            <w:tcBorders>
              <w:top w:val="nil"/>
              <w:left w:val="nil"/>
              <w:bottom w:val="nil"/>
              <w:right w:val="nil"/>
            </w:tcBorders>
            <w:vAlign w:val="center"/>
            <w:hideMark/>
          </w:tcPr>
          <w:p w14:paraId="5E2DD84C" w14:textId="77777777" w:rsidR="008A2A5B" w:rsidRDefault="008A2A5B">
            <w:pPr>
              <w:jc w:val="center"/>
              <w:rPr>
                <w:rFonts w:asciiTheme="majorBidi" w:hAnsiTheme="majorBidi" w:cstheme="majorBidi"/>
              </w:rPr>
            </w:pPr>
            <w:r>
              <w:rPr>
                <w:rFonts w:asciiTheme="majorBidi" w:eastAsia="Times New Roman" w:hAnsiTheme="majorBidi" w:cstheme="majorBidi"/>
              </w:rPr>
              <w:t>5.66 ± 0.81</w:t>
            </w:r>
          </w:p>
        </w:tc>
        <w:tc>
          <w:tcPr>
            <w:tcW w:w="1800" w:type="dxa"/>
            <w:tcBorders>
              <w:top w:val="nil"/>
              <w:left w:val="nil"/>
              <w:bottom w:val="nil"/>
              <w:right w:val="nil"/>
            </w:tcBorders>
            <w:vAlign w:val="center"/>
            <w:hideMark/>
          </w:tcPr>
          <w:p w14:paraId="1FCFD405" w14:textId="77777777" w:rsidR="008A2A5B" w:rsidRDefault="008A2A5B">
            <w:pPr>
              <w:jc w:val="center"/>
              <w:rPr>
                <w:rFonts w:asciiTheme="majorBidi" w:hAnsiTheme="majorBidi" w:cstheme="majorBidi"/>
              </w:rPr>
            </w:pPr>
            <w:r>
              <w:rPr>
                <w:rFonts w:asciiTheme="majorBidi" w:eastAsia="Times New Roman" w:hAnsiTheme="majorBidi" w:cstheme="majorBidi"/>
              </w:rPr>
              <w:t>-5.671</w:t>
            </w:r>
          </w:p>
        </w:tc>
        <w:tc>
          <w:tcPr>
            <w:tcW w:w="1710" w:type="dxa"/>
            <w:tcBorders>
              <w:top w:val="nil"/>
              <w:left w:val="nil"/>
              <w:bottom w:val="nil"/>
              <w:right w:val="nil"/>
            </w:tcBorders>
            <w:vAlign w:val="center"/>
            <w:hideMark/>
          </w:tcPr>
          <w:p w14:paraId="030599B0" w14:textId="77777777" w:rsidR="008A2A5B" w:rsidRDefault="008A2A5B">
            <w:pPr>
              <w:jc w:val="center"/>
              <w:rPr>
                <w:rFonts w:asciiTheme="majorBidi" w:hAnsiTheme="majorBidi" w:cstheme="majorBidi"/>
              </w:rPr>
            </w:pPr>
            <w:r>
              <w:rPr>
                <w:rFonts w:asciiTheme="majorBidi" w:eastAsia="Times New Roman" w:hAnsiTheme="majorBidi" w:cstheme="majorBidi"/>
              </w:rPr>
              <w:t>1.137</w:t>
            </w:r>
          </w:p>
        </w:tc>
        <w:tc>
          <w:tcPr>
            <w:tcW w:w="2070" w:type="dxa"/>
            <w:tcBorders>
              <w:top w:val="nil"/>
              <w:left w:val="nil"/>
              <w:bottom w:val="nil"/>
              <w:right w:val="nil"/>
            </w:tcBorders>
            <w:vAlign w:val="bottom"/>
            <w:hideMark/>
          </w:tcPr>
          <w:p w14:paraId="08E5AE90" w14:textId="77777777" w:rsidR="008A2A5B" w:rsidRDefault="008A2A5B">
            <w:pPr>
              <w:jc w:val="center"/>
              <w:rPr>
                <w:rFonts w:asciiTheme="majorBidi" w:eastAsia="Times New Roman" w:hAnsiTheme="majorBidi" w:cstheme="majorBidi"/>
              </w:rPr>
            </w:pPr>
            <w:r>
              <w:rPr>
                <w:rFonts w:asciiTheme="majorBidi" w:eastAsia="Times New Roman" w:hAnsiTheme="majorBidi" w:cstheme="majorBidi"/>
              </w:rPr>
              <w:t>0.3297</w:t>
            </w:r>
          </w:p>
        </w:tc>
      </w:tr>
      <w:tr w:rsidR="008A2A5B" w14:paraId="456C39E3" w14:textId="77777777" w:rsidTr="008A2A5B">
        <w:trPr>
          <w:trHeight w:val="314"/>
        </w:trPr>
        <w:tc>
          <w:tcPr>
            <w:tcW w:w="2515" w:type="dxa"/>
            <w:tcBorders>
              <w:top w:val="nil"/>
              <w:left w:val="nil"/>
              <w:bottom w:val="nil"/>
              <w:right w:val="nil"/>
            </w:tcBorders>
            <w:vAlign w:val="center"/>
            <w:hideMark/>
          </w:tcPr>
          <w:p w14:paraId="6B200C20" w14:textId="77777777" w:rsidR="008A2A5B" w:rsidRDefault="008A2A5B">
            <w:pPr>
              <w:rPr>
                <w:rFonts w:asciiTheme="majorBidi" w:hAnsiTheme="majorBidi" w:cstheme="majorBidi"/>
              </w:rPr>
            </w:pPr>
            <w:r>
              <w:rPr>
                <w:rFonts w:asciiTheme="majorBidi" w:eastAsia="Times New Roman" w:hAnsiTheme="majorBidi" w:cstheme="majorBidi"/>
              </w:rPr>
              <w:t>Stupor (n=1)</w:t>
            </w:r>
          </w:p>
        </w:tc>
        <w:tc>
          <w:tcPr>
            <w:tcW w:w="2880" w:type="dxa"/>
            <w:tcBorders>
              <w:top w:val="nil"/>
              <w:left w:val="nil"/>
              <w:bottom w:val="nil"/>
              <w:right w:val="nil"/>
            </w:tcBorders>
            <w:vAlign w:val="center"/>
            <w:hideMark/>
          </w:tcPr>
          <w:p w14:paraId="477E22BB" w14:textId="77777777" w:rsidR="008A2A5B" w:rsidRDefault="008A2A5B">
            <w:pPr>
              <w:jc w:val="center"/>
              <w:rPr>
                <w:rFonts w:asciiTheme="majorBidi" w:hAnsiTheme="majorBidi" w:cstheme="majorBidi"/>
              </w:rPr>
            </w:pPr>
            <w:r>
              <w:rPr>
                <w:rFonts w:asciiTheme="majorBidi" w:eastAsia="Times New Roman" w:hAnsiTheme="majorBidi" w:cstheme="majorBidi"/>
              </w:rPr>
              <w:t>8.5 ± 0.70</w:t>
            </w:r>
          </w:p>
        </w:tc>
        <w:tc>
          <w:tcPr>
            <w:tcW w:w="1800" w:type="dxa"/>
            <w:tcBorders>
              <w:top w:val="nil"/>
              <w:left w:val="nil"/>
              <w:bottom w:val="nil"/>
              <w:right w:val="nil"/>
            </w:tcBorders>
            <w:vAlign w:val="center"/>
            <w:hideMark/>
          </w:tcPr>
          <w:p w14:paraId="4D074A8E" w14:textId="77777777" w:rsidR="008A2A5B" w:rsidRDefault="008A2A5B">
            <w:pPr>
              <w:jc w:val="center"/>
              <w:rPr>
                <w:rFonts w:asciiTheme="majorBidi" w:hAnsiTheme="majorBidi" w:cstheme="majorBidi"/>
              </w:rPr>
            </w:pPr>
            <w:r>
              <w:rPr>
                <w:rFonts w:asciiTheme="majorBidi" w:eastAsia="Times New Roman" w:hAnsiTheme="majorBidi" w:cstheme="majorBidi"/>
              </w:rPr>
              <w:t>-11.56</w:t>
            </w:r>
          </w:p>
        </w:tc>
        <w:tc>
          <w:tcPr>
            <w:tcW w:w="1710" w:type="dxa"/>
            <w:tcBorders>
              <w:top w:val="nil"/>
              <w:left w:val="nil"/>
              <w:bottom w:val="nil"/>
              <w:right w:val="nil"/>
            </w:tcBorders>
            <w:vAlign w:val="center"/>
            <w:hideMark/>
          </w:tcPr>
          <w:p w14:paraId="2BC415A2" w14:textId="77777777" w:rsidR="008A2A5B" w:rsidRDefault="008A2A5B">
            <w:pPr>
              <w:jc w:val="center"/>
              <w:rPr>
                <w:rFonts w:asciiTheme="majorBidi" w:eastAsia="Times New Roman" w:hAnsiTheme="majorBidi" w:cstheme="majorBidi"/>
              </w:rPr>
            </w:pPr>
            <w:r>
              <w:rPr>
                <w:rFonts w:asciiTheme="majorBidi" w:eastAsia="Times New Roman" w:hAnsiTheme="majorBidi" w:cstheme="majorBidi"/>
              </w:rPr>
              <w:t>1.359</w:t>
            </w:r>
          </w:p>
        </w:tc>
        <w:tc>
          <w:tcPr>
            <w:tcW w:w="2070" w:type="dxa"/>
            <w:tcBorders>
              <w:top w:val="nil"/>
              <w:left w:val="nil"/>
              <w:bottom w:val="nil"/>
              <w:right w:val="nil"/>
            </w:tcBorders>
            <w:vAlign w:val="bottom"/>
            <w:hideMark/>
          </w:tcPr>
          <w:p w14:paraId="1C7EBED9" w14:textId="77777777" w:rsidR="008A2A5B" w:rsidRDefault="008A2A5B">
            <w:pPr>
              <w:jc w:val="center"/>
              <w:rPr>
                <w:rFonts w:asciiTheme="majorBidi" w:eastAsia="Times New Roman" w:hAnsiTheme="majorBidi" w:cstheme="majorBidi"/>
              </w:rPr>
            </w:pPr>
            <w:r>
              <w:rPr>
                <w:rFonts w:asciiTheme="majorBidi" w:eastAsia="Times New Roman" w:hAnsiTheme="majorBidi" w:cstheme="majorBidi"/>
              </w:rPr>
              <w:t>0.1793</w:t>
            </w:r>
          </w:p>
        </w:tc>
      </w:tr>
      <w:tr w:rsidR="008A2A5B" w14:paraId="5F88645A" w14:textId="77777777" w:rsidTr="008A2A5B">
        <w:trPr>
          <w:trHeight w:val="324"/>
        </w:trPr>
        <w:tc>
          <w:tcPr>
            <w:tcW w:w="10975" w:type="dxa"/>
            <w:gridSpan w:val="5"/>
            <w:tcBorders>
              <w:top w:val="nil"/>
              <w:left w:val="nil"/>
              <w:bottom w:val="nil"/>
              <w:right w:val="nil"/>
            </w:tcBorders>
            <w:vAlign w:val="center"/>
            <w:hideMark/>
          </w:tcPr>
          <w:p w14:paraId="63F59600" w14:textId="77777777" w:rsidR="008A2A5B" w:rsidRDefault="008A2A5B">
            <w:pPr>
              <w:spacing w:before="240"/>
              <w:rPr>
                <w:rFonts w:asciiTheme="majorBidi" w:eastAsia="Times New Roman" w:hAnsiTheme="majorBidi" w:cstheme="majorBidi"/>
                <w:b/>
                <w:bCs/>
              </w:rPr>
            </w:pPr>
            <w:r>
              <w:rPr>
                <w:rFonts w:asciiTheme="majorBidi" w:eastAsia="Times New Roman" w:hAnsiTheme="majorBidi" w:cstheme="majorBidi"/>
                <w:b/>
                <w:bCs/>
              </w:rPr>
              <w:t>NLR &gt; 8.88</w:t>
            </w:r>
          </w:p>
        </w:tc>
      </w:tr>
      <w:tr w:rsidR="008A2A5B" w14:paraId="08BEA60A" w14:textId="77777777" w:rsidTr="008A2A5B">
        <w:trPr>
          <w:trHeight w:val="437"/>
        </w:trPr>
        <w:tc>
          <w:tcPr>
            <w:tcW w:w="2515" w:type="dxa"/>
            <w:tcBorders>
              <w:top w:val="nil"/>
              <w:left w:val="nil"/>
              <w:bottom w:val="nil"/>
              <w:right w:val="nil"/>
            </w:tcBorders>
            <w:vAlign w:val="center"/>
            <w:hideMark/>
          </w:tcPr>
          <w:p w14:paraId="0E7EAF2F" w14:textId="77777777" w:rsidR="008A2A5B" w:rsidRDefault="008A2A5B">
            <w:pPr>
              <w:rPr>
                <w:rFonts w:asciiTheme="majorBidi" w:hAnsiTheme="majorBidi" w:cstheme="majorBidi"/>
              </w:rPr>
            </w:pPr>
            <w:r>
              <w:rPr>
                <w:rFonts w:asciiTheme="majorBidi" w:eastAsia="Times New Roman" w:hAnsiTheme="majorBidi" w:cstheme="majorBidi"/>
              </w:rPr>
              <w:t>Coma (n=3)</w:t>
            </w:r>
          </w:p>
        </w:tc>
        <w:tc>
          <w:tcPr>
            <w:tcW w:w="2880" w:type="dxa"/>
            <w:tcBorders>
              <w:top w:val="nil"/>
              <w:left w:val="nil"/>
              <w:bottom w:val="nil"/>
              <w:right w:val="nil"/>
            </w:tcBorders>
            <w:vAlign w:val="center"/>
            <w:hideMark/>
          </w:tcPr>
          <w:p w14:paraId="2D13536D" w14:textId="77777777" w:rsidR="008A2A5B" w:rsidRDefault="008A2A5B">
            <w:pPr>
              <w:jc w:val="center"/>
              <w:rPr>
                <w:rFonts w:asciiTheme="majorBidi" w:hAnsiTheme="majorBidi" w:cstheme="majorBidi"/>
              </w:rPr>
            </w:pPr>
            <w:r>
              <w:rPr>
                <w:rFonts w:asciiTheme="majorBidi" w:eastAsia="Times New Roman" w:hAnsiTheme="majorBidi" w:cstheme="majorBidi"/>
              </w:rPr>
              <w:t>3.5 ± 0.57</w:t>
            </w:r>
          </w:p>
        </w:tc>
        <w:tc>
          <w:tcPr>
            <w:tcW w:w="1800" w:type="dxa"/>
            <w:tcBorders>
              <w:top w:val="nil"/>
              <w:left w:val="nil"/>
              <w:bottom w:val="nil"/>
              <w:right w:val="nil"/>
            </w:tcBorders>
            <w:vAlign w:val="center"/>
            <w:hideMark/>
          </w:tcPr>
          <w:p w14:paraId="59743CA9" w14:textId="77777777" w:rsidR="008A2A5B" w:rsidRDefault="008A2A5B">
            <w:pPr>
              <w:jc w:val="center"/>
              <w:rPr>
                <w:rFonts w:asciiTheme="majorBidi" w:eastAsia="Times New Roman" w:hAnsiTheme="majorBidi" w:cstheme="majorBidi"/>
              </w:rPr>
            </w:pPr>
            <w:r>
              <w:rPr>
                <w:rFonts w:asciiTheme="majorBidi" w:eastAsia="Times New Roman" w:hAnsiTheme="majorBidi" w:cstheme="majorBidi"/>
              </w:rPr>
              <w:t>5.145</w:t>
            </w:r>
          </w:p>
        </w:tc>
        <w:tc>
          <w:tcPr>
            <w:tcW w:w="1710" w:type="dxa"/>
            <w:tcBorders>
              <w:top w:val="nil"/>
              <w:left w:val="nil"/>
              <w:bottom w:val="nil"/>
              <w:right w:val="nil"/>
            </w:tcBorders>
            <w:vAlign w:val="center"/>
            <w:hideMark/>
          </w:tcPr>
          <w:p w14:paraId="5B4804D9" w14:textId="77777777" w:rsidR="008A2A5B" w:rsidRDefault="008A2A5B">
            <w:pPr>
              <w:jc w:val="center"/>
              <w:rPr>
                <w:rFonts w:asciiTheme="majorBidi" w:eastAsia="Times New Roman" w:hAnsiTheme="majorBidi" w:cstheme="majorBidi"/>
              </w:rPr>
            </w:pPr>
            <w:r>
              <w:rPr>
                <w:rFonts w:asciiTheme="majorBidi" w:eastAsia="Times New Roman" w:hAnsiTheme="majorBidi" w:cstheme="majorBidi"/>
              </w:rPr>
              <w:t>15.01</w:t>
            </w:r>
          </w:p>
        </w:tc>
        <w:tc>
          <w:tcPr>
            <w:tcW w:w="2070" w:type="dxa"/>
            <w:tcBorders>
              <w:top w:val="nil"/>
              <w:left w:val="nil"/>
              <w:bottom w:val="nil"/>
              <w:right w:val="nil"/>
            </w:tcBorders>
            <w:hideMark/>
          </w:tcPr>
          <w:p w14:paraId="74EED06C" w14:textId="77777777" w:rsidR="008A2A5B" w:rsidRDefault="008A2A5B">
            <w:pPr>
              <w:jc w:val="center"/>
              <w:rPr>
                <w:rFonts w:asciiTheme="majorBidi" w:hAnsiTheme="majorBidi" w:cstheme="majorBidi"/>
              </w:rPr>
            </w:pPr>
            <w:r>
              <w:rPr>
                <w:rFonts w:asciiTheme="majorBidi" w:hAnsiTheme="majorBidi" w:cstheme="majorBidi"/>
              </w:rPr>
              <w:t>&lt;0.0001</w:t>
            </w:r>
          </w:p>
        </w:tc>
      </w:tr>
      <w:tr w:rsidR="008A2A5B" w14:paraId="3AB445D3" w14:textId="77777777" w:rsidTr="008A2A5B">
        <w:trPr>
          <w:trHeight w:val="108"/>
        </w:trPr>
        <w:tc>
          <w:tcPr>
            <w:tcW w:w="2515" w:type="dxa"/>
            <w:tcBorders>
              <w:top w:val="nil"/>
              <w:left w:val="nil"/>
              <w:bottom w:val="single" w:sz="4" w:space="0" w:color="auto"/>
              <w:right w:val="nil"/>
            </w:tcBorders>
            <w:vAlign w:val="center"/>
            <w:hideMark/>
          </w:tcPr>
          <w:p w14:paraId="14F48934" w14:textId="77777777" w:rsidR="008A2A5B" w:rsidRDefault="008A2A5B">
            <w:pPr>
              <w:rPr>
                <w:rFonts w:asciiTheme="majorBidi" w:hAnsiTheme="majorBidi" w:cstheme="majorBidi"/>
              </w:rPr>
            </w:pPr>
            <w:proofErr w:type="spellStart"/>
            <w:r>
              <w:rPr>
                <w:rFonts w:asciiTheme="majorBidi" w:eastAsia="Times New Roman" w:hAnsiTheme="majorBidi" w:cstheme="majorBidi"/>
              </w:rPr>
              <w:t>Semicoma</w:t>
            </w:r>
            <w:proofErr w:type="spellEnd"/>
            <w:r>
              <w:rPr>
                <w:rFonts w:asciiTheme="majorBidi" w:eastAsia="Times New Roman" w:hAnsiTheme="majorBidi" w:cstheme="majorBidi"/>
              </w:rPr>
              <w:t xml:space="preserve"> (n=7)</w:t>
            </w:r>
          </w:p>
        </w:tc>
        <w:tc>
          <w:tcPr>
            <w:tcW w:w="2880" w:type="dxa"/>
            <w:tcBorders>
              <w:top w:val="nil"/>
              <w:left w:val="nil"/>
              <w:bottom w:val="single" w:sz="4" w:space="0" w:color="auto"/>
              <w:right w:val="nil"/>
            </w:tcBorders>
            <w:vAlign w:val="center"/>
            <w:hideMark/>
          </w:tcPr>
          <w:p w14:paraId="044052E1" w14:textId="77777777" w:rsidR="008A2A5B" w:rsidRDefault="008A2A5B">
            <w:pPr>
              <w:jc w:val="center"/>
              <w:rPr>
                <w:rFonts w:asciiTheme="majorBidi" w:hAnsiTheme="majorBidi" w:cstheme="majorBidi"/>
              </w:rPr>
            </w:pPr>
            <w:r>
              <w:rPr>
                <w:rFonts w:asciiTheme="majorBidi" w:eastAsia="Times New Roman" w:hAnsiTheme="majorBidi" w:cstheme="majorBidi"/>
              </w:rPr>
              <w:t>5.66 ± 0.81</w:t>
            </w:r>
          </w:p>
        </w:tc>
        <w:tc>
          <w:tcPr>
            <w:tcW w:w="1800" w:type="dxa"/>
            <w:tcBorders>
              <w:top w:val="nil"/>
              <w:left w:val="nil"/>
              <w:bottom w:val="single" w:sz="4" w:space="0" w:color="auto"/>
              <w:right w:val="nil"/>
            </w:tcBorders>
            <w:vAlign w:val="center"/>
            <w:hideMark/>
          </w:tcPr>
          <w:p w14:paraId="32B8440D" w14:textId="77777777" w:rsidR="008A2A5B" w:rsidRDefault="008A2A5B">
            <w:pPr>
              <w:jc w:val="center"/>
              <w:rPr>
                <w:rFonts w:asciiTheme="majorBidi" w:eastAsia="Times New Roman" w:hAnsiTheme="majorBidi" w:cstheme="majorBidi"/>
              </w:rPr>
            </w:pPr>
            <w:r>
              <w:rPr>
                <w:rFonts w:asciiTheme="majorBidi" w:eastAsia="Times New Roman" w:hAnsiTheme="majorBidi" w:cstheme="majorBidi"/>
              </w:rPr>
              <w:t>4.507</w:t>
            </w:r>
          </w:p>
        </w:tc>
        <w:tc>
          <w:tcPr>
            <w:tcW w:w="1710" w:type="dxa"/>
            <w:tcBorders>
              <w:top w:val="nil"/>
              <w:left w:val="nil"/>
              <w:bottom w:val="single" w:sz="4" w:space="0" w:color="auto"/>
              <w:right w:val="nil"/>
            </w:tcBorders>
            <w:vAlign w:val="center"/>
            <w:hideMark/>
          </w:tcPr>
          <w:p w14:paraId="6217770B" w14:textId="77777777" w:rsidR="008A2A5B" w:rsidRDefault="008A2A5B">
            <w:pPr>
              <w:jc w:val="center"/>
              <w:rPr>
                <w:rFonts w:asciiTheme="majorBidi" w:eastAsia="Times New Roman" w:hAnsiTheme="majorBidi" w:cstheme="majorBidi"/>
              </w:rPr>
            </w:pPr>
            <w:r>
              <w:rPr>
                <w:rFonts w:asciiTheme="majorBidi" w:eastAsia="Times New Roman" w:hAnsiTheme="majorBidi" w:cstheme="majorBidi"/>
              </w:rPr>
              <w:t>11.32</w:t>
            </w:r>
          </w:p>
        </w:tc>
        <w:tc>
          <w:tcPr>
            <w:tcW w:w="2070" w:type="dxa"/>
            <w:tcBorders>
              <w:top w:val="nil"/>
              <w:left w:val="nil"/>
              <w:bottom w:val="single" w:sz="4" w:space="0" w:color="auto"/>
              <w:right w:val="nil"/>
            </w:tcBorders>
            <w:hideMark/>
          </w:tcPr>
          <w:p w14:paraId="393ED669" w14:textId="77777777" w:rsidR="008A2A5B" w:rsidRDefault="008A2A5B">
            <w:pPr>
              <w:jc w:val="center"/>
              <w:rPr>
                <w:rFonts w:asciiTheme="majorBidi" w:hAnsiTheme="majorBidi" w:cstheme="majorBidi"/>
              </w:rPr>
            </w:pPr>
            <w:r>
              <w:rPr>
                <w:rFonts w:asciiTheme="majorBidi" w:hAnsiTheme="majorBidi" w:cstheme="majorBidi"/>
              </w:rPr>
              <w:t>&lt;0.0001</w:t>
            </w:r>
          </w:p>
        </w:tc>
      </w:tr>
    </w:tbl>
    <w:p w14:paraId="30E774AA" w14:textId="77777777" w:rsidR="008A2A5B" w:rsidRDefault="008A2A5B" w:rsidP="008A2A5B"/>
    <w:p w14:paraId="3A735C66" w14:textId="77777777" w:rsidR="008A2A5B" w:rsidRDefault="008A2A5B" w:rsidP="008A2A5B"/>
    <w:p w14:paraId="76AC8932" w14:textId="77777777" w:rsidR="008A2A5B" w:rsidRDefault="008A2A5B" w:rsidP="008A2A5B"/>
    <w:p w14:paraId="541842B1" w14:textId="77777777" w:rsidR="008A2A5B" w:rsidRDefault="008A2A5B" w:rsidP="008A2A5B"/>
    <w:p w14:paraId="41C36022" w14:textId="77777777" w:rsidR="008A2A5B" w:rsidRDefault="008A2A5B" w:rsidP="008A2A5B"/>
    <w:p w14:paraId="7F4BDE66" w14:textId="77777777" w:rsidR="008A2A5B" w:rsidRDefault="008A2A5B" w:rsidP="008A2A5B"/>
    <w:p w14:paraId="1C9FFE65" w14:textId="77777777" w:rsidR="008A2A5B" w:rsidRDefault="008A2A5B" w:rsidP="008A2A5B"/>
    <w:p w14:paraId="40EF2E9A" w14:textId="77777777" w:rsidR="008A2A5B" w:rsidRDefault="008A2A5B" w:rsidP="008A2A5B"/>
    <w:p w14:paraId="32DB8F7B" w14:textId="77777777" w:rsidR="008A2A5B" w:rsidRDefault="008A2A5B" w:rsidP="008A2A5B"/>
    <w:p w14:paraId="2C1C2ABD" w14:textId="77777777" w:rsidR="008A2A5B" w:rsidRDefault="008A2A5B" w:rsidP="008A2A5B"/>
    <w:tbl>
      <w:tblPr>
        <w:tblW w:w="5640" w:type="dxa"/>
        <w:tblCellMar>
          <w:left w:w="0" w:type="dxa"/>
          <w:right w:w="0" w:type="dxa"/>
        </w:tblCellMar>
        <w:tblLook w:val="04A0" w:firstRow="1" w:lastRow="0" w:firstColumn="1" w:lastColumn="0" w:noHBand="0" w:noVBand="1"/>
      </w:tblPr>
      <w:tblGrid>
        <w:gridCol w:w="2240"/>
        <w:gridCol w:w="2000"/>
        <w:gridCol w:w="1400"/>
        <w:gridCol w:w="2000"/>
      </w:tblGrid>
      <w:tr w:rsidR="008A2A5B" w14:paraId="10CEED05" w14:textId="77777777" w:rsidTr="008A2A5B">
        <w:tc>
          <w:tcPr>
            <w:tcW w:w="2240" w:type="dxa"/>
            <w:noWrap/>
            <w:tcMar>
              <w:top w:w="15" w:type="dxa"/>
              <w:left w:w="15" w:type="dxa"/>
              <w:bottom w:w="0" w:type="dxa"/>
              <w:right w:w="15" w:type="dxa"/>
            </w:tcMar>
            <w:vAlign w:val="bottom"/>
          </w:tcPr>
          <w:p w14:paraId="4FA07252" w14:textId="77777777" w:rsidR="008A2A5B" w:rsidRDefault="008A2A5B">
            <w:pPr>
              <w:spacing w:after="0" w:line="240" w:lineRule="auto"/>
              <w:jc w:val="right"/>
              <w:rPr>
                <w:rFonts w:ascii="Arial" w:eastAsia="Times New Roman" w:hAnsi="Arial" w:cs="Arial"/>
                <w:sz w:val="20"/>
                <w:szCs w:val="20"/>
              </w:rPr>
            </w:pPr>
          </w:p>
        </w:tc>
        <w:tc>
          <w:tcPr>
            <w:tcW w:w="2000" w:type="dxa"/>
            <w:noWrap/>
            <w:tcMar>
              <w:top w:w="15" w:type="dxa"/>
              <w:left w:w="15" w:type="dxa"/>
              <w:bottom w:w="0" w:type="dxa"/>
              <w:right w:w="15" w:type="dxa"/>
            </w:tcMar>
            <w:vAlign w:val="bottom"/>
          </w:tcPr>
          <w:p w14:paraId="594E8F93" w14:textId="77777777" w:rsidR="008A2A5B" w:rsidRDefault="008A2A5B">
            <w:pPr>
              <w:spacing w:after="0" w:line="240" w:lineRule="auto"/>
              <w:jc w:val="right"/>
              <w:rPr>
                <w:rFonts w:ascii="Arial" w:eastAsia="Times New Roman" w:hAnsi="Arial" w:cs="Arial"/>
                <w:sz w:val="20"/>
                <w:szCs w:val="20"/>
              </w:rPr>
            </w:pPr>
          </w:p>
        </w:tc>
        <w:tc>
          <w:tcPr>
            <w:tcW w:w="1400" w:type="dxa"/>
            <w:noWrap/>
            <w:tcMar>
              <w:top w:w="15" w:type="dxa"/>
              <w:left w:w="15" w:type="dxa"/>
              <w:bottom w:w="0" w:type="dxa"/>
              <w:right w:w="15" w:type="dxa"/>
            </w:tcMar>
            <w:vAlign w:val="bottom"/>
          </w:tcPr>
          <w:p w14:paraId="35E6E7CC" w14:textId="77777777" w:rsidR="008A2A5B" w:rsidRDefault="008A2A5B">
            <w:pPr>
              <w:spacing w:after="0" w:line="240" w:lineRule="auto"/>
              <w:jc w:val="right"/>
              <w:rPr>
                <w:rFonts w:ascii="Arial" w:eastAsia="Times New Roman" w:hAnsi="Arial" w:cs="Arial"/>
                <w:sz w:val="20"/>
                <w:szCs w:val="20"/>
              </w:rPr>
            </w:pPr>
          </w:p>
        </w:tc>
        <w:tc>
          <w:tcPr>
            <w:tcW w:w="2000" w:type="dxa"/>
            <w:noWrap/>
            <w:tcMar>
              <w:top w:w="15" w:type="dxa"/>
              <w:left w:w="15" w:type="dxa"/>
              <w:bottom w:w="0" w:type="dxa"/>
              <w:right w:w="15" w:type="dxa"/>
            </w:tcMar>
            <w:vAlign w:val="bottom"/>
          </w:tcPr>
          <w:p w14:paraId="76575E70" w14:textId="77777777" w:rsidR="008A2A5B" w:rsidRDefault="008A2A5B">
            <w:pPr>
              <w:spacing w:after="0" w:line="240" w:lineRule="auto"/>
              <w:jc w:val="right"/>
              <w:rPr>
                <w:rFonts w:ascii="Arial" w:eastAsia="Times New Roman" w:hAnsi="Arial" w:cs="Arial"/>
                <w:sz w:val="20"/>
                <w:szCs w:val="20"/>
              </w:rPr>
            </w:pPr>
          </w:p>
        </w:tc>
      </w:tr>
      <w:tr w:rsidR="008A2A5B" w14:paraId="7F288816" w14:textId="77777777" w:rsidTr="008A2A5B">
        <w:tc>
          <w:tcPr>
            <w:tcW w:w="0" w:type="auto"/>
            <w:noWrap/>
            <w:tcMar>
              <w:top w:w="15" w:type="dxa"/>
              <w:left w:w="15" w:type="dxa"/>
              <w:bottom w:w="0" w:type="dxa"/>
              <w:right w:w="15" w:type="dxa"/>
            </w:tcMar>
            <w:vAlign w:val="bottom"/>
          </w:tcPr>
          <w:p w14:paraId="6D6795E1" w14:textId="77777777" w:rsidR="008A2A5B" w:rsidRDefault="008A2A5B">
            <w:pPr>
              <w:spacing w:after="0" w:line="240" w:lineRule="auto"/>
              <w:jc w:val="right"/>
              <w:rPr>
                <w:rFonts w:ascii="Arial" w:eastAsia="Times New Roman" w:hAnsi="Arial" w:cs="Arial"/>
                <w:sz w:val="20"/>
                <w:szCs w:val="20"/>
              </w:rPr>
            </w:pPr>
          </w:p>
        </w:tc>
        <w:tc>
          <w:tcPr>
            <w:tcW w:w="0" w:type="auto"/>
            <w:noWrap/>
            <w:tcMar>
              <w:top w:w="15" w:type="dxa"/>
              <w:left w:w="15" w:type="dxa"/>
              <w:bottom w:w="0" w:type="dxa"/>
              <w:right w:w="15" w:type="dxa"/>
            </w:tcMar>
            <w:vAlign w:val="bottom"/>
          </w:tcPr>
          <w:p w14:paraId="39EDDA5D" w14:textId="77777777" w:rsidR="008A2A5B" w:rsidRDefault="008A2A5B">
            <w:pPr>
              <w:spacing w:after="0" w:line="240" w:lineRule="auto"/>
              <w:jc w:val="right"/>
              <w:rPr>
                <w:rFonts w:ascii="Arial" w:eastAsia="Times New Roman" w:hAnsi="Arial" w:cs="Arial"/>
                <w:sz w:val="20"/>
                <w:szCs w:val="20"/>
              </w:rPr>
            </w:pPr>
          </w:p>
        </w:tc>
        <w:tc>
          <w:tcPr>
            <w:tcW w:w="0" w:type="auto"/>
            <w:noWrap/>
            <w:tcMar>
              <w:top w:w="15" w:type="dxa"/>
              <w:left w:w="15" w:type="dxa"/>
              <w:bottom w:w="0" w:type="dxa"/>
              <w:right w:w="15" w:type="dxa"/>
            </w:tcMar>
            <w:vAlign w:val="bottom"/>
          </w:tcPr>
          <w:p w14:paraId="74DF04EA" w14:textId="77777777" w:rsidR="008A2A5B" w:rsidRDefault="008A2A5B">
            <w:pPr>
              <w:spacing w:after="0" w:line="240" w:lineRule="auto"/>
              <w:jc w:val="right"/>
              <w:rPr>
                <w:rFonts w:ascii="Arial" w:eastAsia="Times New Roman" w:hAnsi="Arial" w:cs="Arial"/>
                <w:sz w:val="20"/>
                <w:szCs w:val="20"/>
              </w:rPr>
            </w:pPr>
          </w:p>
        </w:tc>
        <w:tc>
          <w:tcPr>
            <w:tcW w:w="0" w:type="auto"/>
            <w:noWrap/>
            <w:tcMar>
              <w:top w:w="15" w:type="dxa"/>
              <w:left w:w="15" w:type="dxa"/>
              <w:bottom w:w="0" w:type="dxa"/>
              <w:right w:w="15" w:type="dxa"/>
            </w:tcMar>
            <w:vAlign w:val="bottom"/>
          </w:tcPr>
          <w:p w14:paraId="2ACC6AC3" w14:textId="77777777" w:rsidR="008A2A5B" w:rsidRDefault="008A2A5B">
            <w:pPr>
              <w:spacing w:after="0" w:line="240" w:lineRule="auto"/>
              <w:jc w:val="right"/>
              <w:rPr>
                <w:rFonts w:ascii="Arial" w:eastAsia="Times New Roman" w:hAnsi="Arial" w:cs="Arial"/>
                <w:sz w:val="20"/>
                <w:szCs w:val="20"/>
              </w:rPr>
            </w:pPr>
          </w:p>
        </w:tc>
      </w:tr>
      <w:tr w:rsidR="008A2A5B" w14:paraId="22DE1A37" w14:textId="77777777" w:rsidTr="008A2A5B">
        <w:tc>
          <w:tcPr>
            <w:tcW w:w="0" w:type="auto"/>
            <w:noWrap/>
            <w:tcMar>
              <w:top w:w="15" w:type="dxa"/>
              <w:left w:w="15" w:type="dxa"/>
              <w:bottom w:w="0" w:type="dxa"/>
              <w:right w:w="15" w:type="dxa"/>
            </w:tcMar>
            <w:vAlign w:val="bottom"/>
          </w:tcPr>
          <w:p w14:paraId="50F9BE9C" w14:textId="77777777" w:rsidR="008A2A5B" w:rsidRDefault="008A2A5B">
            <w:pPr>
              <w:spacing w:after="0" w:line="240" w:lineRule="auto"/>
              <w:jc w:val="right"/>
              <w:rPr>
                <w:rFonts w:ascii="Arial" w:eastAsia="Times New Roman" w:hAnsi="Arial" w:cs="Arial"/>
                <w:sz w:val="20"/>
                <w:szCs w:val="20"/>
              </w:rPr>
            </w:pPr>
          </w:p>
        </w:tc>
        <w:tc>
          <w:tcPr>
            <w:tcW w:w="0" w:type="auto"/>
            <w:noWrap/>
            <w:tcMar>
              <w:top w:w="15" w:type="dxa"/>
              <w:left w:w="15" w:type="dxa"/>
              <w:bottom w:w="0" w:type="dxa"/>
              <w:right w:w="15" w:type="dxa"/>
            </w:tcMar>
            <w:vAlign w:val="bottom"/>
          </w:tcPr>
          <w:p w14:paraId="18124203" w14:textId="77777777" w:rsidR="008A2A5B" w:rsidRDefault="008A2A5B">
            <w:pPr>
              <w:spacing w:after="0" w:line="240" w:lineRule="auto"/>
              <w:jc w:val="right"/>
              <w:rPr>
                <w:rFonts w:ascii="Arial" w:eastAsia="Times New Roman" w:hAnsi="Arial" w:cs="Arial"/>
                <w:sz w:val="20"/>
                <w:szCs w:val="20"/>
              </w:rPr>
            </w:pPr>
          </w:p>
        </w:tc>
        <w:tc>
          <w:tcPr>
            <w:tcW w:w="0" w:type="auto"/>
            <w:noWrap/>
            <w:tcMar>
              <w:top w:w="15" w:type="dxa"/>
              <w:left w:w="15" w:type="dxa"/>
              <w:bottom w:w="0" w:type="dxa"/>
              <w:right w:w="15" w:type="dxa"/>
            </w:tcMar>
            <w:vAlign w:val="bottom"/>
          </w:tcPr>
          <w:p w14:paraId="0F7B30AE" w14:textId="77777777" w:rsidR="008A2A5B" w:rsidRDefault="008A2A5B">
            <w:pPr>
              <w:spacing w:after="0" w:line="240" w:lineRule="auto"/>
              <w:jc w:val="right"/>
              <w:rPr>
                <w:rFonts w:ascii="Arial" w:eastAsia="Times New Roman" w:hAnsi="Arial" w:cs="Arial"/>
                <w:sz w:val="20"/>
                <w:szCs w:val="20"/>
              </w:rPr>
            </w:pPr>
          </w:p>
        </w:tc>
        <w:tc>
          <w:tcPr>
            <w:tcW w:w="0" w:type="auto"/>
            <w:noWrap/>
            <w:tcMar>
              <w:top w:w="15" w:type="dxa"/>
              <w:left w:w="15" w:type="dxa"/>
              <w:bottom w:w="0" w:type="dxa"/>
              <w:right w:w="15" w:type="dxa"/>
            </w:tcMar>
            <w:vAlign w:val="bottom"/>
          </w:tcPr>
          <w:p w14:paraId="0407308C" w14:textId="77777777" w:rsidR="008A2A5B" w:rsidRDefault="008A2A5B">
            <w:pPr>
              <w:spacing w:after="0" w:line="240" w:lineRule="auto"/>
              <w:jc w:val="right"/>
              <w:rPr>
                <w:rFonts w:ascii="Arial" w:eastAsia="Times New Roman" w:hAnsi="Arial" w:cs="Arial"/>
                <w:sz w:val="20"/>
                <w:szCs w:val="20"/>
              </w:rPr>
            </w:pPr>
          </w:p>
        </w:tc>
      </w:tr>
      <w:tr w:rsidR="008A2A5B" w14:paraId="29C0D2C5" w14:textId="77777777" w:rsidTr="008A2A5B">
        <w:tc>
          <w:tcPr>
            <w:tcW w:w="0" w:type="auto"/>
            <w:noWrap/>
            <w:tcMar>
              <w:top w:w="15" w:type="dxa"/>
              <w:left w:w="15" w:type="dxa"/>
              <w:bottom w:w="0" w:type="dxa"/>
              <w:right w:w="15" w:type="dxa"/>
            </w:tcMar>
            <w:vAlign w:val="bottom"/>
          </w:tcPr>
          <w:p w14:paraId="3DA08207" w14:textId="77777777" w:rsidR="008A2A5B" w:rsidRDefault="008A2A5B">
            <w:pPr>
              <w:spacing w:after="0" w:line="240" w:lineRule="auto"/>
              <w:jc w:val="right"/>
              <w:rPr>
                <w:rFonts w:ascii="Arial" w:eastAsia="Times New Roman" w:hAnsi="Arial" w:cs="Arial"/>
                <w:sz w:val="20"/>
                <w:szCs w:val="20"/>
              </w:rPr>
            </w:pPr>
          </w:p>
        </w:tc>
        <w:tc>
          <w:tcPr>
            <w:tcW w:w="0" w:type="auto"/>
            <w:noWrap/>
            <w:tcMar>
              <w:top w:w="15" w:type="dxa"/>
              <w:left w:w="15" w:type="dxa"/>
              <w:bottom w:w="0" w:type="dxa"/>
              <w:right w:w="15" w:type="dxa"/>
            </w:tcMar>
            <w:vAlign w:val="bottom"/>
          </w:tcPr>
          <w:p w14:paraId="51A91C69" w14:textId="77777777" w:rsidR="008A2A5B" w:rsidRDefault="008A2A5B">
            <w:pPr>
              <w:spacing w:after="0" w:line="240" w:lineRule="auto"/>
              <w:jc w:val="right"/>
              <w:rPr>
                <w:rFonts w:ascii="Arial" w:eastAsia="Times New Roman" w:hAnsi="Arial" w:cs="Arial"/>
                <w:sz w:val="20"/>
                <w:szCs w:val="20"/>
              </w:rPr>
            </w:pPr>
          </w:p>
        </w:tc>
        <w:tc>
          <w:tcPr>
            <w:tcW w:w="0" w:type="auto"/>
            <w:noWrap/>
            <w:tcMar>
              <w:top w:w="15" w:type="dxa"/>
              <w:left w:w="15" w:type="dxa"/>
              <w:bottom w:w="0" w:type="dxa"/>
              <w:right w:w="15" w:type="dxa"/>
            </w:tcMar>
            <w:vAlign w:val="bottom"/>
          </w:tcPr>
          <w:p w14:paraId="5FB3C820" w14:textId="77777777" w:rsidR="008A2A5B" w:rsidRDefault="008A2A5B">
            <w:pPr>
              <w:spacing w:after="0" w:line="240" w:lineRule="auto"/>
              <w:jc w:val="right"/>
              <w:rPr>
                <w:rFonts w:ascii="Arial" w:eastAsia="Times New Roman" w:hAnsi="Arial" w:cs="Arial"/>
                <w:sz w:val="20"/>
                <w:szCs w:val="20"/>
              </w:rPr>
            </w:pPr>
          </w:p>
        </w:tc>
        <w:tc>
          <w:tcPr>
            <w:tcW w:w="0" w:type="auto"/>
            <w:noWrap/>
            <w:tcMar>
              <w:top w:w="15" w:type="dxa"/>
              <w:left w:w="15" w:type="dxa"/>
              <w:bottom w:w="0" w:type="dxa"/>
              <w:right w:w="15" w:type="dxa"/>
            </w:tcMar>
            <w:vAlign w:val="bottom"/>
          </w:tcPr>
          <w:p w14:paraId="0F11679E" w14:textId="77777777" w:rsidR="008A2A5B" w:rsidRDefault="008A2A5B">
            <w:pPr>
              <w:spacing w:after="0" w:line="240" w:lineRule="auto"/>
              <w:jc w:val="right"/>
              <w:rPr>
                <w:rFonts w:ascii="Arial" w:eastAsia="Times New Roman" w:hAnsi="Arial" w:cs="Arial"/>
                <w:sz w:val="20"/>
                <w:szCs w:val="20"/>
              </w:rPr>
            </w:pPr>
          </w:p>
        </w:tc>
      </w:tr>
      <w:tr w:rsidR="008A2A5B" w14:paraId="11913EDA" w14:textId="77777777" w:rsidTr="008A2A5B">
        <w:tc>
          <w:tcPr>
            <w:tcW w:w="0" w:type="auto"/>
            <w:noWrap/>
            <w:tcMar>
              <w:top w:w="15" w:type="dxa"/>
              <w:left w:w="15" w:type="dxa"/>
              <w:bottom w:w="0" w:type="dxa"/>
              <w:right w:w="15" w:type="dxa"/>
            </w:tcMar>
            <w:vAlign w:val="bottom"/>
          </w:tcPr>
          <w:p w14:paraId="65629626" w14:textId="77777777" w:rsidR="008A2A5B" w:rsidRDefault="008A2A5B">
            <w:pPr>
              <w:spacing w:after="0" w:line="240" w:lineRule="auto"/>
              <w:jc w:val="right"/>
              <w:rPr>
                <w:rFonts w:ascii="Arial" w:eastAsia="Times New Roman" w:hAnsi="Arial" w:cs="Arial"/>
                <w:sz w:val="20"/>
                <w:szCs w:val="20"/>
              </w:rPr>
            </w:pPr>
          </w:p>
        </w:tc>
        <w:tc>
          <w:tcPr>
            <w:tcW w:w="0" w:type="auto"/>
            <w:noWrap/>
            <w:tcMar>
              <w:top w:w="15" w:type="dxa"/>
              <w:left w:w="15" w:type="dxa"/>
              <w:bottom w:w="0" w:type="dxa"/>
              <w:right w:w="15" w:type="dxa"/>
            </w:tcMar>
            <w:vAlign w:val="bottom"/>
          </w:tcPr>
          <w:p w14:paraId="12270DB1" w14:textId="77777777" w:rsidR="008A2A5B" w:rsidRDefault="008A2A5B">
            <w:pPr>
              <w:spacing w:after="0" w:line="240" w:lineRule="auto"/>
              <w:jc w:val="right"/>
              <w:rPr>
                <w:rFonts w:ascii="Arial" w:eastAsia="Times New Roman" w:hAnsi="Arial" w:cs="Arial"/>
                <w:sz w:val="20"/>
                <w:szCs w:val="20"/>
              </w:rPr>
            </w:pPr>
          </w:p>
        </w:tc>
        <w:tc>
          <w:tcPr>
            <w:tcW w:w="0" w:type="auto"/>
            <w:noWrap/>
            <w:tcMar>
              <w:top w:w="15" w:type="dxa"/>
              <w:left w:w="15" w:type="dxa"/>
              <w:bottom w:w="0" w:type="dxa"/>
              <w:right w:w="15" w:type="dxa"/>
            </w:tcMar>
            <w:vAlign w:val="bottom"/>
          </w:tcPr>
          <w:p w14:paraId="7F4509A0" w14:textId="77777777" w:rsidR="008A2A5B" w:rsidRDefault="008A2A5B">
            <w:pPr>
              <w:spacing w:after="0" w:line="240" w:lineRule="auto"/>
              <w:jc w:val="right"/>
              <w:rPr>
                <w:rFonts w:ascii="Arial" w:eastAsia="Times New Roman" w:hAnsi="Arial" w:cs="Arial"/>
                <w:sz w:val="20"/>
                <w:szCs w:val="20"/>
              </w:rPr>
            </w:pPr>
          </w:p>
        </w:tc>
        <w:tc>
          <w:tcPr>
            <w:tcW w:w="0" w:type="auto"/>
            <w:noWrap/>
            <w:tcMar>
              <w:top w:w="15" w:type="dxa"/>
              <w:left w:w="15" w:type="dxa"/>
              <w:bottom w:w="0" w:type="dxa"/>
              <w:right w:w="15" w:type="dxa"/>
            </w:tcMar>
            <w:vAlign w:val="bottom"/>
          </w:tcPr>
          <w:p w14:paraId="168F4686" w14:textId="77777777" w:rsidR="008A2A5B" w:rsidRDefault="008A2A5B">
            <w:pPr>
              <w:spacing w:after="0" w:line="240" w:lineRule="auto"/>
              <w:jc w:val="right"/>
              <w:rPr>
                <w:rFonts w:ascii="Arial" w:eastAsia="Times New Roman" w:hAnsi="Arial" w:cs="Arial"/>
                <w:sz w:val="20"/>
                <w:szCs w:val="20"/>
              </w:rPr>
            </w:pPr>
          </w:p>
        </w:tc>
      </w:tr>
    </w:tbl>
    <w:p w14:paraId="0C24DF34" w14:textId="77777777" w:rsidR="008A2A5B" w:rsidRDefault="008A2A5B" w:rsidP="008A2A5B"/>
    <w:p w14:paraId="7D939598" w14:textId="77777777" w:rsidR="008A2A5B" w:rsidRDefault="008A2A5B" w:rsidP="00C40292">
      <w:pPr>
        <w:spacing w:line="360" w:lineRule="auto"/>
        <w:jc w:val="both"/>
        <w:rPr>
          <w:rFonts w:asciiTheme="majorBidi" w:hAnsiTheme="majorBidi" w:cstheme="majorBidi"/>
          <w:sz w:val="24"/>
          <w:szCs w:val="24"/>
          <w:lang w:bidi="fa-IR"/>
        </w:rPr>
      </w:pPr>
    </w:p>
    <w:p w14:paraId="21DEE1E8" w14:textId="77777777" w:rsidR="00247EA7" w:rsidRDefault="00247EA7" w:rsidP="00C40292">
      <w:pPr>
        <w:spacing w:line="360" w:lineRule="auto"/>
        <w:jc w:val="both"/>
        <w:rPr>
          <w:rFonts w:asciiTheme="majorBidi" w:hAnsiTheme="majorBidi" w:cstheme="majorBidi"/>
          <w:sz w:val="24"/>
          <w:szCs w:val="24"/>
          <w:lang w:bidi="fa-IR"/>
        </w:rPr>
      </w:pPr>
    </w:p>
    <w:p w14:paraId="7E8D3427" w14:textId="77777777" w:rsidR="00247EA7" w:rsidRDefault="00247EA7" w:rsidP="00C40292">
      <w:pPr>
        <w:spacing w:line="360" w:lineRule="auto"/>
        <w:jc w:val="both"/>
        <w:rPr>
          <w:rFonts w:asciiTheme="majorBidi" w:hAnsiTheme="majorBidi" w:cstheme="majorBidi"/>
          <w:sz w:val="24"/>
          <w:szCs w:val="24"/>
          <w:lang w:bidi="fa-IR"/>
        </w:rPr>
      </w:pPr>
    </w:p>
    <w:p w14:paraId="0A16C930" w14:textId="77777777" w:rsidR="00B822CD" w:rsidRDefault="008A2A5B" w:rsidP="00247EA7">
      <w:r>
        <w:t>Figure 1.</w:t>
      </w:r>
    </w:p>
    <w:p w14:paraId="2730E438" w14:textId="77777777" w:rsidR="008A2A5B" w:rsidRDefault="008A2A5B" w:rsidP="00247EA7">
      <w:r w:rsidRPr="008A2A5B">
        <w:rPr>
          <w:noProof/>
        </w:rPr>
        <w:drawing>
          <wp:inline distT="0" distB="0" distL="0" distR="0" wp14:anchorId="5B26C138" wp14:editId="78CF5EC7">
            <wp:extent cx="5943600" cy="5430437"/>
            <wp:effectExtent l="0" t="0" r="0" b="0"/>
            <wp:docPr id="1" name="Picture 1" descr="D:\Dr.modaenama\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modaenama\figure 1.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5430437"/>
                    </a:xfrm>
                    <a:prstGeom prst="rect">
                      <a:avLst/>
                    </a:prstGeom>
                    <a:noFill/>
                    <a:ln>
                      <a:noFill/>
                    </a:ln>
                  </pic:spPr>
                </pic:pic>
              </a:graphicData>
            </a:graphic>
          </wp:inline>
        </w:drawing>
      </w:r>
    </w:p>
    <w:p w14:paraId="19B01183" w14:textId="77777777" w:rsidR="008A2A5B" w:rsidRDefault="008A2A5B" w:rsidP="00247EA7"/>
    <w:p w14:paraId="129C87EA" w14:textId="77777777" w:rsidR="008A2A5B" w:rsidRDefault="008A2A5B" w:rsidP="00247EA7"/>
    <w:p w14:paraId="1A16CDC3" w14:textId="77777777" w:rsidR="008A2A5B" w:rsidRDefault="008A2A5B" w:rsidP="00247EA7"/>
    <w:p w14:paraId="77E07CB1" w14:textId="77777777" w:rsidR="008A2A5B" w:rsidRDefault="008A2A5B" w:rsidP="00247EA7"/>
    <w:p w14:paraId="7A1C7DBF" w14:textId="77777777" w:rsidR="008A2A5B" w:rsidRDefault="008A2A5B" w:rsidP="00247EA7"/>
    <w:p w14:paraId="3210F482" w14:textId="77777777" w:rsidR="008A2A5B" w:rsidRDefault="008A2A5B" w:rsidP="00247EA7"/>
    <w:p w14:paraId="4F80FD43" w14:textId="77777777" w:rsidR="008A2A5B" w:rsidRDefault="008A2A5B" w:rsidP="00247EA7"/>
    <w:p w14:paraId="2280CB9C" w14:textId="77777777" w:rsidR="008A2A5B" w:rsidRDefault="008A2A5B" w:rsidP="00247EA7">
      <w:r>
        <w:lastRenderedPageBreak/>
        <w:t>Figure 2.</w:t>
      </w:r>
    </w:p>
    <w:p w14:paraId="420FD219" w14:textId="77777777" w:rsidR="008A2A5B" w:rsidRDefault="008A2A5B" w:rsidP="00247EA7">
      <w:r w:rsidRPr="008A2A5B">
        <w:rPr>
          <w:noProof/>
        </w:rPr>
        <w:drawing>
          <wp:inline distT="0" distB="0" distL="0" distR="0" wp14:anchorId="4673E58A" wp14:editId="6739B2AD">
            <wp:extent cx="5943600" cy="3768993"/>
            <wp:effectExtent l="0" t="0" r="0" b="3175"/>
            <wp:docPr id="2" name="Picture 2" descr="D:\Dr.modaenama\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r.modaenama\figure 2.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768993"/>
                    </a:xfrm>
                    <a:prstGeom prst="rect">
                      <a:avLst/>
                    </a:prstGeom>
                    <a:noFill/>
                    <a:ln>
                      <a:noFill/>
                    </a:ln>
                  </pic:spPr>
                </pic:pic>
              </a:graphicData>
            </a:graphic>
          </wp:inline>
        </w:drawing>
      </w:r>
    </w:p>
    <w:p w14:paraId="73FBEC49" w14:textId="77777777" w:rsidR="008A2A5B" w:rsidRDefault="008A2A5B" w:rsidP="00247EA7"/>
    <w:p w14:paraId="22A4993E" w14:textId="77777777" w:rsidR="008A2A5B" w:rsidRDefault="008A2A5B" w:rsidP="00247EA7"/>
    <w:p w14:paraId="1F97A895" w14:textId="77777777" w:rsidR="008A2A5B" w:rsidRDefault="008A2A5B" w:rsidP="00247EA7"/>
    <w:p w14:paraId="182B136E" w14:textId="77777777" w:rsidR="008A2A5B" w:rsidRDefault="008A2A5B" w:rsidP="00247EA7"/>
    <w:p w14:paraId="47951862" w14:textId="77777777" w:rsidR="008A2A5B" w:rsidRDefault="008A2A5B" w:rsidP="00247EA7"/>
    <w:p w14:paraId="3DD554FF" w14:textId="77777777" w:rsidR="008A2A5B" w:rsidRDefault="008A2A5B" w:rsidP="00247EA7"/>
    <w:p w14:paraId="3C2A9BF8" w14:textId="77777777" w:rsidR="008A2A5B" w:rsidRDefault="008A2A5B" w:rsidP="00247EA7"/>
    <w:p w14:paraId="49AE510F" w14:textId="77777777" w:rsidR="008A2A5B" w:rsidRDefault="008A2A5B" w:rsidP="00247EA7"/>
    <w:p w14:paraId="3F688FBB" w14:textId="77777777" w:rsidR="008A2A5B" w:rsidRDefault="008A2A5B" w:rsidP="00247EA7"/>
    <w:p w14:paraId="295EC643" w14:textId="77777777" w:rsidR="008A2A5B" w:rsidRDefault="008A2A5B" w:rsidP="00247EA7"/>
    <w:p w14:paraId="33E8BD33" w14:textId="77777777" w:rsidR="008A2A5B" w:rsidRDefault="008A2A5B" w:rsidP="00247EA7"/>
    <w:p w14:paraId="02AF2499" w14:textId="77777777" w:rsidR="008A2A5B" w:rsidRDefault="008A2A5B" w:rsidP="00247EA7"/>
    <w:p w14:paraId="141BB79C" w14:textId="77777777" w:rsidR="008A2A5B" w:rsidRDefault="008A2A5B" w:rsidP="00247EA7"/>
    <w:p w14:paraId="065F8DBB" w14:textId="77777777" w:rsidR="008A2A5B" w:rsidRDefault="008A2A5B" w:rsidP="00247EA7"/>
    <w:p w14:paraId="1ACCEFF0" w14:textId="77777777" w:rsidR="008A2A5B" w:rsidRDefault="008A2A5B" w:rsidP="00247EA7">
      <w:r>
        <w:lastRenderedPageBreak/>
        <w:t>Figure 3.</w:t>
      </w:r>
    </w:p>
    <w:p w14:paraId="431D9C16" w14:textId="77777777" w:rsidR="008A2A5B" w:rsidRDefault="008A2A5B" w:rsidP="00247EA7">
      <w:r w:rsidRPr="008A2A5B">
        <w:rPr>
          <w:noProof/>
        </w:rPr>
        <w:drawing>
          <wp:inline distT="0" distB="0" distL="0" distR="0" wp14:anchorId="2B8884FE" wp14:editId="2F62DE90">
            <wp:extent cx="2761615" cy="4147889"/>
            <wp:effectExtent l="0" t="0" r="635" b="5080"/>
            <wp:docPr id="3" name="Picture 3" descr="D:\Dr.modaenama\fig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r.modaenama\figure 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4346" cy="4167010"/>
                    </a:xfrm>
                    <a:prstGeom prst="rect">
                      <a:avLst/>
                    </a:prstGeom>
                    <a:noFill/>
                    <a:ln>
                      <a:noFill/>
                    </a:ln>
                  </pic:spPr>
                </pic:pic>
              </a:graphicData>
            </a:graphic>
          </wp:inline>
        </w:drawing>
      </w:r>
    </w:p>
    <w:p w14:paraId="61F9BFEC" w14:textId="77777777" w:rsidR="00105A38" w:rsidRDefault="00105A38" w:rsidP="00247EA7"/>
    <w:p w14:paraId="4544A8F6" w14:textId="77777777" w:rsidR="00105A38" w:rsidRDefault="00105A38" w:rsidP="00247EA7"/>
    <w:p w14:paraId="7612B23E" w14:textId="77777777" w:rsidR="00105A38" w:rsidRDefault="00105A38" w:rsidP="00247EA7"/>
    <w:p w14:paraId="464CDC4D" w14:textId="77777777" w:rsidR="00105A38" w:rsidRDefault="00105A38" w:rsidP="00247EA7"/>
    <w:p w14:paraId="0DAC3F7B" w14:textId="77777777" w:rsidR="00105A38" w:rsidRDefault="00105A38" w:rsidP="00247EA7"/>
    <w:p w14:paraId="240C0C6E" w14:textId="77777777" w:rsidR="00105A38" w:rsidRDefault="00105A38" w:rsidP="00247EA7"/>
    <w:p w14:paraId="7D459B05" w14:textId="77777777" w:rsidR="00105A38" w:rsidRDefault="00105A38" w:rsidP="00247EA7"/>
    <w:p w14:paraId="7258FE75" w14:textId="77777777" w:rsidR="00105A38" w:rsidRDefault="00105A38" w:rsidP="00247EA7"/>
    <w:sectPr w:rsidR="00105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dvPSA35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B Nazanin">
    <w:altName w:val="Arial"/>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0ve5twvwadv9eezf4x2wz3awv0sxessv5p&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record-ids&gt;&lt;/item&gt;&lt;/Libraries&gt;"/>
  </w:docVars>
  <w:rsids>
    <w:rsidRoot w:val="00220FAF"/>
    <w:rsid w:val="000022C1"/>
    <w:rsid w:val="000106A9"/>
    <w:rsid w:val="00020FAE"/>
    <w:rsid w:val="000434E3"/>
    <w:rsid w:val="00064990"/>
    <w:rsid w:val="00070B17"/>
    <w:rsid w:val="0007380A"/>
    <w:rsid w:val="00073870"/>
    <w:rsid w:val="000F5337"/>
    <w:rsid w:val="000F7D6A"/>
    <w:rsid w:val="00105A38"/>
    <w:rsid w:val="001234C3"/>
    <w:rsid w:val="00127EA7"/>
    <w:rsid w:val="00151C15"/>
    <w:rsid w:val="001807FE"/>
    <w:rsid w:val="001820EE"/>
    <w:rsid w:val="001B3EB6"/>
    <w:rsid w:val="001E157C"/>
    <w:rsid w:val="001E31B2"/>
    <w:rsid w:val="001E7CA0"/>
    <w:rsid w:val="001F4A68"/>
    <w:rsid w:val="00211303"/>
    <w:rsid w:val="002147EE"/>
    <w:rsid w:val="00217F4A"/>
    <w:rsid w:val="00220FAF"/>
    <w:rsid w:val="00222F89"/>
    <w:rsid w:val="00245822"/>
    <w:rsid w:val="00247EA7"/>
    <w:rsid w:val="00280120"/>
    <w:rsid w:val="00292C24"/>
    <w:rsid w:val="002B13D3"/>
    <w:rsid w:val="002B2A66"/>
    <w:rsid w:val="002C2175"/>
    <w:rsid w:val="002F4E1B"/>
    <w:rsid w:val="00303F59"/>
    <w:rsid w:val="00310F59"/>
    <w:rsid w:val="0034395D"/>
    <w:rsid w:val="0034469D"/>
    <w:rsid w:val="00360700"/>
    <w:rsid w:val="003678D6"/>
    <w:rsid w:val="003A5F14"/>
    <w:rsid w:val="003A6E4D"/>
    <w:rsid w:val="003C1A24"/>
    <w:rsid w:val="003F7A52"/>
    <w:rsid w:val="00452DE7"/>
    <w:rsid w:val="00491EDA"/>
    <w:rsid w:val="0049308D"/>
    <w:rsid w:val="00497B9F"/>
    <w:rsid w:val="004B010A"/>
    <w:rsid w:val="004B4C1A"/>
    <w:rsid w:val="004E23D0"/>
    <w:rsid w:val="004E5E63"/>
    <w:rsid w:val="004F2F7F"/>
    <w:rsid w:val="005226E6"/>
    <w:rsid w:val="0056673B"/>
    <w:rsid w:val="005A2226"/>
    <w:rsid w:val="005B751D"/>
    <w:rsid w:val="005C57E6"/>
    <w:rsid w:val="005D386D"/>
    <w:rsid w:val="005F4932"/>
    <w:rsid w:val="005F7D63"/>
    <w:rsid w:val="00601B2C"/>
    <w:rsid w:val="00602855"/>
    <w:rsid w:val="00623FFE"/>
    <w:rsid w:val="006464E8"/>
    <w:rsid w:val="00657717"/>
    <w:rsid w:val="00667369"/>
    <w:rsid w:val="00680746"/>
    <w:rsid w:val="006838A8"/>
    <w:rsid w:val="00684F71"/>
    <w:rsid w:val="006A1D91"/>
    <w:rsid w:val="006A7939"/>
    <w:rsid w:val="006B1E5C"/>
    <w:rsid w:val="006D666B"/>
    <w:rsid w:val="00731E89"/>
    <w:rsid w:val="007567A7"/>
    <w:rsid w:val="00773CF8"/>
    <w:rsid w:val="007819BE"/>
    <w:rsid w:val="0078475C"/>
    <w:rsid w:val="00797417"/>
    <w:rsid w:val="007B545B"/>
    <w:rsid w:val="007D7695"/>
    <w:rsid w:val="007E5B1C"/>
    <w:rsid w:val="00815BC5"/>
    <w:rsid w:val="0087281D"/>
    <w:rsid w:val="00885FEF"/>
    <w:rsid w:val="008A2A5B"/>
    <w:rsid w:val="008B146A"/>
    <w:rsid w:val="008E33BC"/>
    <w:rsid w:val="008F785F"/>
    <w:rsid w:val="00921BF0"/>
    <w:rsid w:val="00932224"/>
    <w:rsid w:val="00935B97"/>
    <w:rsid w:val="0094512E"/>
    <w:rsid w:val="009554CB"/>
    <w:rsid w:val="00957DED"/>
    <w:rsid w:val="00976663"/>
    <w:rsid w:val="00981BBF"/>
    <w:rsid w:val="00982458"/>
    <w:rsid w:val="0098270A"/>
    <w:rsid w:val="009846C5"/>
    <w:rsid w:val="009869AF"/>
    <w:rsid w:val="009872B1"/>
    <w:rsid w:val="009A7662"/>
    <w:rsid w:val="009B07E8"/>
    <w:rsid w:val="009B1086"/>
    <w:rsid w:val="009C0CB3"/>
    <w:rsid w:val="009F7E06"/>
    <w:rsid w:val="00A23868"/>
    <w:rsid w:val="00A421B7"/>
    <w:rsid w:val="00A45B4C"/>
    <w:rsid w:val="00A5604E"/>
    <w:rsid w:val="00A57E83"/>
    <w:rsid w:val="00AE619A"/>
    <w:rsid w:val="00B04CA6"/>
    <w:rsid w:val="00B23D49"/>
    <w:rsid w:val="00B421F8"/>
    <w:rsid w:val="00B438DC"/>
    <w:rsid w:val="00B44505"/>
    <w:rsid w:val="00B6329D"/>
    <w:rsid w:val="00B670A8"/>
    <w:rsid w:val="00B822CD"/>
    <w:rsid w:val="00B85BB6"/>
    <w:rsid w:val="00BC6EA3"/>
    <w:rsid w:val="00BD40C9"/>
    <w:rsid w:val="00BD64DF"/>
    <w:rsid w:val="00BF1B4D"/>
    <w:rsid w:val="00C15E39"/>
    <w:rsid w:val="00C340B6"/>
    <w:rsid w:val="00C35312"/>
    <w:rsid w:val="00C40292"/>
    <w:rsid w:val="00C61FC3"/>
    <w:rsid w:val="00C65C2A"/>
    <w:rsid w:val="00C8331F"/>
    <w:rsid w:val="00C92637"/>
    <w:rsid w:val="00CB2FF0"/>
    <w:rsid w:val="00D03D00"/>
    <w:rsid w:val="00D06D25"/>
    <w:rsid w:val="00D67551"/>
    <w:rsid w:val="00D74218"/>
    <w:rsid w:val="00D85CF1"/>
    <w:rsid w:val="00D86B73"/>
    <w:rsid w:val="00DC32EA"/>
    <w:rsid w:val="00DC4572"/>
    <w:rsid w:val="00DD7370"/>
    <w:rsid w:val="00DE37F8"/>
    <w:rsid w:val="00DE783B"/>
    <w:rsid w:val="00DF6651"/>
    <w:rsid w:val="00E171E9"/>
    <w:rsid w:val="00E40603"/>
    <w:rsid w:val="00E5042C"/>
    <w:rsid w:val="00E64F0D"/>
    <w:rsid w:val="00E6503F"/>
    <w:rsid w:val="00E70100"/>
    <w:rsid w:val="00E71C78"/>
    <w:rsid w:val="00E808E5"/>
    <w:rsid w:val="00EA4020"/>
    <w:rsid w:val="00EB41C2"/>
    <w:rsid w:val="00F12CE6"/>
    <w:rsid w:val="00F2356B"/>
    <w:rsid w:val="00F23C0B"/>
    <w:rsid w:val="00F31F98"/>
    <w:rsid w:val="00F36F92"/>
    <w:rsid w:val="00F37E6E"/>
    <w:rsid w:val="00F53878"/>
    <w:rsid w:val="00F716F8"/>
    <w:rsid w:val="00F93F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31B76"/>
  <w15:chartTrackingRefBased/>
  <w15:docId w15:val="{6BE566C0-98A7-4965-BD98-6DF9AC60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40603"/>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E40603"/>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E40603"/>
    <w:rPr>
      <w:rFonts w:ascii="Helvetica" w:hAnsi="Helvetica" w:hint="default"/>
      <w:b w:val="0"/>
      <w:bCs w:val="0"/>
      <w:i w:val="0"/>
      <w:iCs w:val="0"/>
      <w:color w:val="A9A9A9"/>
      <w:sz w:val="144"/>
      <w:szCs w:val="144"/>
    </w:rPr>
  </w:style>
  <w:style w:type="character" w:customStyle="1" w:styleId="fontstyle11">
    <w:name w:val="fontstyle11"/>
    <w:basedOn w:val="DefaultParagraphFont"/>
    <w:rsid w:val="00E70100"/>
    <w:rPr>
      <w:rFonts w:ascii="Times New Roman" w:hAnsi="Times New Roman" w:cs="Times New Roman" w:hint="default"/>
      <w:b w:val="0"/>
      <w:bCs w:val="0"/>
      <w:i w:val="0"/>
      <w:iCs w:val="0"/>
      <w:color w:val="000000"/>
      <w:sz w:val="24"/>
      <w:szCs w:val="24"/>
    </w:rPr>
  </w:style>
  <w:style w:type="paragraph" w:customStyle="1" w:styleId="EndNoteBibliographyTitle">
    <w:name w:val="EndNote Bibliography Title"/>
    <w:basedOn w:val="Normal"/>
    <w:link w:val="EndNoteBibliographyTitleChar"/>
    <w:rsid w:val="00DC32EA"/>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DC32EA"/>
    <w:rPr>
      <w:rFonts w:ascii="Times New Roman" w:hAnsi="Times New Roman" w:cs="Times New Roman"/>
      <w:noProof/>
      <w:sz w:val="24"/>
    </w:rPr>
  </w:style>
  <w:style w:type="paragraph" w:customStyle="1" w:styleId="EndNoteBibliography">
    <w:name w:val="EndNote Bibliography"/>
    <w:basedOn w:val="Normal"/>
    <w:link w:val="EndNoteBibliographyChar"/>
    <w:rsid w:val="00DC32EA"/>
    <w:pPr>
      <w:spacing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DC32EA"/>
    <w:rPr>
      <w:rFonts w:ascii="Times New Roman" w:hAnsi="Times New Roman" w:cs="Times New Roman"/>
      <w:noProof/>
      <w:sz w:val="24"/>
    </w:rPr>
  </w:style>
  <w:style w:type="table" w:styleId="TableGrid">
    <w:name w:val="Table Grid"/>
    <w:basedOn w:val="TableNormal"/>
    <w:uiPriority w:val="39"/>
    <w:rsid w:val="00247E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38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824266">
      <w:bodyDiv w:val="1"/>
      <w:marLeft w:val="0"/>
      <w:marRight w:val="0"/>
      <w:marTop w:val="0"/>
      <w:marBottom w:val="0"/>
      <w:divBdr>
        <w:top w:val="none" w:sz="0" w:space="0" w:color="auto"/>
        <w:left w:val="none" w:sz="0" w:space="0" w:color="auto"/>
        <w:bottom w:val="none" w:sz="0" w:space="0" w:color="auto"/>
        <w:right w:val="none" w:sz="0" w:space="0" w:color="auto"/>
      </w:divBdr>
    </w:div>
    <w:div w:id="338167614">
      <w:bodyDiv w:val="1"/>
      <w:marLeft w:val="0"/>
      <w:marRight w:val="0"/>
      <w:marTop w:val="0"/>
      <w:marBottom w:val="0"/>
      <w:divBdr>
        <w:top w:val="none" w:sz="0" w:space="0" w:color="auto"/>
        <w:left w:val="none" w:sz="0" w:space="0" w:color="auto"/>
        <w:bottom w:val="none" w:sz="0" w:space="0" w:color="auto"/>
        <w:right w:val="none" w:sz="0" w:space="0" w:color="auto"/>
      </w:divBdr>
    </w:div>
    <w:div w:id="396056889">
      <w:bodyDiv w:val="1"/>
      <w:marLeft w:val="0"/>
      <w:marRight w:val="0"/>
      <w:marTop w:val="0"/>
      <w:marBottom w:val="0"/>
      <w:divBdr>
        <w:top w:val="none" w:sz="0" w:space="0" w:color="auto"/>
        <w:left w:val="none" w:sz="0" w:space="0" w:color="auto"/>
        <w:bottom w:val="none" w:sz="0" w:space="0" w:color="auto"/>
        <w:right w:val="none" w:sz="0" w:space="0" w:color="auto"/>
      </w:divBdr>
    </w:div>
    <w:div w:id="401754953">
      <w:bodyDiv w:val="1"/>
      <w:marLeft w:val="0"/>
      <w:marRight w:val="0"/>
      <w:marTop w:val="0"/>
      <w:marBottom w:val="0"/>
      <w:divBdr>
        <w:top w:val="none" w:sz="0" w:space="0" w:color="auto"/>
        <w:left w:val="none" w:sz="0" w:space="0" w:color="auto"/>
        <w:bottom w:val="none" w:sz="0" w:space="0" w:color="auto"/>
        <w:right w:val="none" w:sz="0" w:space="0" w:color="auto"/>
      </w:divBdr>
    </w:div>
    <w:div w:id="870410608">
      <w:bodyDiv w:val="1"/>
      <w:marLeft w:val="0"/>
      <w:marRight w:val="0"/>
      <w:marTop w:val="0"/>
      <w:marBottom w:val="0"/>
      <w:divBdr>
        <w:top w:val="none" w:sz="0" w:space="0" w:color="auto"/>
        <w:left w:val="none" w:sz="0" w:space="0" w:color="auto"/>
        <w:bottom w:val="none" w:sz="0" w:space="0" w:color="auto"/>
        <w:right w:val="none" w:sz="0" w:space="0" w:color="auto"/>
      </w:divBdr>
    </w:div>
    <w:div w:id="1071463220">
      <w:bodyDiv w:val="1"/>
      <w:marLeft w:val="0"/>
      <w:marRight w:val="0"/>
      <w:marTop w:val="0"/>
      <w:marBottom w:val="0"/>
      <w:divBdr>
        <w:top w:val="none" w:sz="0" w:space="0" w:color="auto"/>
        <w:left w:val="none" w:sz="0" w:space="0" w:color="auto"/>
        <w:bottom w:val="none" w:sz="0" w:space="0" w:color="auto"/>
        <w:right w:val="none" w:sz="0" w:space="0" w:color="auto"/>
      </w:divBdr>
    </w:div>
    <w:div w:id="172682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hyperlink" Target="mailto:babak.alijani1394@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20</Pages>
  <Words>11331</Words>
  <Characters>63006</Characters>
  <Application>Microsoft Office Word</Application>
  <DocSecurity>0</DocSecurity>
  <Lines>1431</Lines>
  <Paragraphs>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X554LD</dc:creator>
  <cp:keywords/>
  <dc:description/>
  <cp:lastModifiedBy>asus</cp:lastModifiedBy>
  <cp:revision>21</cp:revision>
  <dcterms:created xsi:type="dcterms:W3CDTF">2023-06-28T05:56:00Z</dcterms:created>
  <dcterms:modified xsi:type="dcterms:W3CDTF">2025-04-14T18:12:00Z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993c31ad80810d03a2381986dcd38e7b17041c2920a93bfe67983e3056fee4cf</vt:lpwstr>
  </property>
</Properties>
</file>